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F2455" w14:textId="77777777" w:rsidR="00725093" w:rsidRDefault="00725093">
      <w:pPr>
        <w:pStyle w:val="a4"/>
        <w:jc w:val="right"/>
      </w:pPr>
    </w:p>
    <w:p w14:paraId="44E19AFC" w14:textId="77777777" w:rsidR="00725093" w:rsidRDefault="00000000">
      <w:pPr>
        <w:pStyle w:val="head"/>
      </w:pPr>
      <w:r>
        <w:rPr>
          <w:b/>
        </w:rPr>
        <w:t>МИНИСТЕРСТВО ВНУТРЕННИХ ДЕЛ ПРИДНЕСТРОВСКОЙ МОЛДАВСКОЙ РЕСПУБЛИКИ</w:t>
      </w:r>
    </w:p>
    <w:p w14:paraId="1E0381AD" w14:textId="77777777" w:rsidR="00725093" w:rsidRDefault="00000000">
      <w:pPr>
        <w:pStyle w:val="head"/>
      </w:pPr>
      <w:r>
        <w:rPr>
          <w:b/>
        </w:rPr>
        <w:t>ПРИКАЗ</w:t>
      </w:r>
    </w:p>
    <w:p w14:paraId="0792924F" w14:textId="77777777" w:rsidR="00725093" w:rsidRDefault="00000000">
      <w:pPr>
        <w:pStyle w:val="head"/>
      </w:pPr>
      <w:r>
        <w:rPr>
          <w:b/>
        </w:rPr>
        <w:t>от 26 октября 2018 г.</w:t>
      </w:r>
      <w:r>
        <w:br/>
      </w:r>
      <w:r>
        <w:rPr>
          <w:b/>
        </w:rPr>
        <w:t>№ 522</w:t>
      </w:r>
    </w:p>
    <w:p w14:paraId="1D03869E" w14:textId="77777777" w:rsidR="00725093" w:rsidRDefault="00000000">
      <w:pPr>
        <w:pStyle w:val="head"/>
      </w:pPr>
      <w:r>
        <w:rPr>
          <w:b/>
        </w:rPr>
        <w:t>Об утверждении Правил назначения и производства судебно-биологических, генотипоскопических экспертиз и исследований объектов биологического происхождения в Государственном учреждении "Экспертно-криминалистический центр Министерства внутренних дел Приднестровской Молдавской Республики"</w:t>
      </w:r>
    </w:p>
    <w:p w14:paraId="2B500B6E" w14:textId="77777777" w:rsidR="00725093" w:rsidRDefault="00000000">
      <w:pPr>
        <w:pStyle w:val="head"/>
      </w:pPr>
      <w:r>
        <w:t>САЗ (04.03.2019) № 19-8</w:t>
      </w:r>
    </w:p>
    <w:p w14:paraId="38D33EFF" w14:textId="77777777" w:rsidR="00725093" w:rsidRDefault="00000000">
      <w:pPr>
        <w:pStyle w:val="a4"/>
        <w:jc w:val="center"/>
      </w:pPr>
      <w:r>
        <w:rPr>
          <w:i/>
        </w:rPr>
        <w:t>Согласован:</w:t>
      </w:r>
      <w:r>
        <w:br/>
      </w:r>
      <w:r>
        <w:rPr>
          <w:i/>
        </w:rPr>
        <w:t>Прокуратура,</w:t>
      </w:r>
      <w:r>
        <w:br/>
      </w:r>
      <w:r>
        <w:rPr>
          <w:i/>
        </w:rPr>
        <w:t>Следственный комитет,</w:t>
      </w:r>
      <w:r>
        <w:br/>
      </w:r>
      <w:r>
        <w:rPr>
          <w:i/>
        </w:rPr>
        <w:t>Министерство здравоохранения</w:t>
      </w:r>
    </w:p>
    <w:p w14:paraId="1B2493C8" w14:textId="0F6D2F56" w:rsidR="00725093" w:rsidRDefault="00000000">
      <w:pPr>
        <w:ind w:firstLine="480"/>
        <w:jc w:val="both"/>
      </w:pPr>
      <w:r>
        <w:t xml:space="preserve">В соответствии с </w:t>
      </w:r>
      <w:hyperlink r:id="rId6" w:history="1">
        <w:r>
          <w:rPr>
            <w:rStyle w:val="a3"/>
          </w:rPr>
          <w:t>Законом Приднестровской Молдавской Республики от 18 июля 1995 года "О милиции"</w:t>
        </w:r>
      </w:hyperlink>
      <w:r>
        <w:t xml:space="preserve"> (СЗМР 95-3) в действующей редакции, </w:t>
      </w:r>
      <w:hyperlink r:id="rId7" w:tooltip="(ВСТУПИЛ В СИЛУ 19.03.2013) О судебно-экспертной деятельности в Приднестровской Молдавской Республике" w:history="1">
        <w:r>
          <w:rPr>
            <w:rStyle w:val="a3"/>
          </w:rPr>
          <w:t>Законом Приднестровской Молдавской Республики от 11 марта 2013 года № 53-3-V "О судебно-экспертной деятельности в Приднестровской Молдавской Республики"</w:t>
        </w:r>
      </w:hyperlink>
      <w:r>
        <w:t xml:space="preserve"> (САЗ 13-10) в действующей редакции, </w:t>
      </w:r>
      <w:hyperlink r:id="rId8" w:tooltip="(ВСТУПИЛ В СИЛУ 25.02.2016) Об утверждении Положения, системы и штатной численности Министерства внутренних дел Приднестровской Молдавской Республики" w:history="1">
        <w:r>
          <w:rPr>
            <w:rStyle w:val="a3"/>
          </w:rPr>
          <w:t>Указом Президента Приднестровской Молдавской Республики от 25 февраля 2016 года № 90 "Об утверждении Положения, системы, структуры Министерства внутренних дел Приднестровской Молдавской Республики и штатной численности Министерства внутренних дел Приднестровской Молдавской Республики"</w:t>
        </w:r>
      </w:hyperlink>
      <w:r>
        <w:t xml:space="preserve"> (САЗ 16-8) с изменениями и дополнениями, внесенными </w:t>
      </w:r>
      <w:hyperlink r:id="rId9" w:tooltip="(ВСТУПИЛ В СИЛУ 12.05.2016) О внесении изменений в Указ Президента Приднестровской Молдавской Республики  от 25 февраля 2016 года № 90 " w:history="1">
        <w:r>
          <w:rPr>
            <w:rStyle w:val="a3"/>
          </w:rPr>
          <w:t>указами Президента Приднестровской Молдавской Республики от 12 мая 2016 года № 184</w:t>
        </w:r>
      </w:hyperlink>
      <w:r>
        <w:t xml:space="preserve"> (САЗ 16-19), </w:t>
      </w:r>
      <w:hyperlink r:id="rId10" w:tooltip="(ВСТУПИЛ В СИЛУ 06.12.2016) О внесении изменений в Указ Президента Приднестровской Молдавской Республики от 25 февраля 2016 года № 90 " w:history="1">
        <w:r>
          <w:rPr>
            <w:rStyle w:val="a3"/>
          </w:rPr>
          <w:t>от 6 декабря 2016 года № 508</w:t>
        </w:r>
      </w:hyperlink>
      <w:r>
        <w:t xml:space="preserve"> (САЗ 16-49), </w:t>
      </w:r>
      <w:hyperlink r:id="rId11" w:tooltip="(ВСТУПИЛ В СИЛУ 30.12.2016) О внесении изменений в Указ Президента Приднестровской Молдавской Республики  от 25 февраля 2016 года № 90 " w:history="1">
        <w:r>
          <w:rPr>
            <w:rStyle w:val="a3"/>
          </w:rPr>
          <w:t>от 30 декабря 2016 года № 66</w:t>
        </w:r>
      </w:hyperlink>
      <w:r>
        <w:t xml:space="preserve"> (САЗ 17-1), </w:t>
      </w:r>
      <w:hyperlink r:id="rId12" w:tooltip="(ВСТУПИЛ В СИЛУ 15.03.2017) О внесении изменений и дополнений в Указ Президента Приднестровской Молдавской Республики от 25 февраля 2016 года № 90 " w:history="1">
        <w:r>
          <w:rPr>
            <w:rStyle w:val="a3"/>
          </w:rPr>
          <w:t>от 15 марта 2017 года № 174</w:t>
        </w:r>
      </w:hyperlink>
      <w:r>
        <w:t xml:space="preserve"> (САЗ 17-12), </w:t>
      </w:r>
      <w:hyperlink r:id="rId13" w:tooltip="(ВСТУПИЛ В СИЛУ 19.06.2017) О внесении изменений в Указ Президента Приднестровской Молдавской Республики от 25 февраля 2016 года № 90 " w:history="1">
        <w:r>
          <w:rPr>
            <w:rStyle w:val="a3"/>
          </w:rPr>
          <w:t>от 19 июня 2017 года № 378</w:t>
        </w:r>
      </w:hyperlink>
      <w:r>
        <w:t xml:space="preserve"> (САЗ 17-26), </w:t>
      </w:r>
      <w:hyperlink r:id="rId14" w:tooltip="(ВСТУПИЛ В СИЛУ 04.11.2017) О внесении изменений в Указ Президента Приднестровской Молдавской Республики от 25 февраля 2016 года № 90 " w:history="1">
        <w:r>
          <w:rPr>
            <w:rStyle w:val="a3"/>
          </w:rPr>
          <w:t>от 4 ноября 2017 года № 622</w:t>
        </w:r>
      </w:hyperlink>
      <w:r>
        <w:t xml:space="preserve"> (САЗ 17-45), </w:t>
      </w:r>
      <w:hyperlink r:id="rId15" w:tooltip="(ВСТУПИЛ В СИЛУ 18.12.2017) О внесении изменения в Указ Президента Приднестровской Молдавской Республики от 25 февраля 2016 года № 90 " w:history="1">
        <w:r>
          <w:rPr>
            <w:rStyle w:val="a3"/>
          </w:rPr>
          <w:t>от 18 декабря 2017 года № 684</w:t>
        </w:r>
      </w:hyperlink>
      <w:r>
        <w:t xml:space="preserve"> (САЗ 17-52), </w:t>
      </w:r>
      <w:hyperlink r:id="rId16" w:tooltip="(ВСТУПИЛ В СИЛУ 24.01.2018) О внесении изменений в Указ Президента Приднестровской Молдавской Республики от 25 февраля 2016 года № 90 " w:history="1">
        <w:r>
          <w:rPr>
            <w:rStyle w:val="a3"/>
          </w:rPr>
          <w:t>от 24 января 2018 года № 192</w:t>
        </w:r>
      </w:hyperlink>
      <w:r>
        <w:t xml:space="preserve"> (САЗ 18-4), </w:t>
      </w:r>
      <w:hyperlink r:id="rId17" w:tooltip="(ВСТУПИЛ В СИЛУ 20.03.2018) О внесении дополнения в Указ Президента Приднестровской Молдавской Республики  от 25 февраля 2016 года № 90 " w:history="1">
        <w:r>
          <w:rPr>
            <w:rStyle w:val="a3"/>
          </w:rPr>
          <w:t>от 12 марта 2018 года № 86</w:t>
        </w:r>
      </w:hyperlink>
      <w:r>
        <w:t xml:space="preserve"> (САЗ 18-11), </w:t>
      </w:r>
      <w:hyperlink r:id="rId18" w:tooltip="(ВСТУПИЛ В СИЛУ 10.04.2018) О внесении изменений и дополнений в Указ Президента Приднестровской Молдавской Республики от 25 февраля 2016 года № 90 " w:history="1">
        <w:r>
          <w:rPr>
            <w:rStyle w:val="a3"/>
          </w:rPr>
          <w:t>от 5 апреля 2018 года № 133</w:t>
        </w:r>
      </w:hyperlink>
      <w:r>
        <w:t xml:space="preserve"> (САЗ 18-14), </w:t>
      </w:r>
      <w:hyperlink r:id="rId19" w:tooltip="(ВСТУПИЛ В СИЛУ 14.05.2018) О внесении изменения в Указ Президента Приднестровской Молдавской Республики от 25 февраля 2016 года № 90 " w:history="1">
        <w:r>
          <w:rPr>
            <w:rStyle w:val="a3"/>
          </w:rPr>
          <w:t>от 14 мая 2018 года № 172</w:t>
        </w:r>
      </w:hyperlink>
      <w:r>
        <w:t xml:space="preserve"> (САЗ 18-20), </w:t>
      </w:r>
      <w:hyperlink r:id="rId20" w:tooltip="(ВСТУПИЛ В СИЛУ 25.05.2018) О внесении изменения в Указ Президента Приднестровской Молдавской Республики от 25 февраля 2016 года № 90 " w:history="1">
        <w:r>
          <w:rPr>
            <w:rStyle w:val="a3"/>
          </w:rPr>
          <w:t>от 25 мая 2018 года № 195</w:t>
        </w:r>
      </w:hyperlink>
      <w:r>
        <w:t xml:space="preserve"> (САЗ 18-21), </w:t>
      </w:r>
      <w:hyperlink r:id="rId21" w:tooltip="(ВСТУПИЛ В СИЛУ 01.01.2019) О внесении изменения в Указ Президента Приднестровской Молдавской Республики от 25 февраля 2016 года № 90 " w:history="1">
        <w:r>
          <w:rPr>
            <w:rStyle w:val="a3"/>
          </w:rPr>
          <w:t>от 24 сентября 2018 года № 359</w:t>
        </w:r>
      </w:hyperlink>
      <w:r>
        <w:t> (САЗ 18-39), в целях исследования объектов и определения наличия, вида, группы и пригодности для идентификации личности объектов биологического происхождения, а также в целях идентификации личности и определения биологического родства по уголовным и гражданским делам, приказываю:</w:t>
      </w:r>
    </w:p>
    <w:p w14:paraId="65461CA5" w14:textId="77777777" w:rsidR="00725093" w:rsidRDefault="00000000">
      <w:pPr>
        <w:ind w:firstLine="480"/>
        <w:jc w:val="both"/>
      </w:pPr>
      <w:r>
        <w:t>1. Утвердить Правила назначения и производства судебно-биологических, генотипоскопических экспертиз и исследований объектов биологического происхождения в Государственном учреждении "Экспертно-криминалистический центр Министерства внутренних дел Приднестровской Молдавской Республики", согласно Приложению к настоящему Приказу.</w:t>
      </w:r>
    </w:p>
    <w:p w14:paraId="4DC5E099" w14:textId="77777777" w:rsidR="00725093" w:rsidRDefault="00000000">
      <w:pPr>
        <w:ind w:firstLine="480"/>
        <w:jc w:val="both"/>
      </w:pPr>
      <w:r>
        <w:lastRenderedPageBreak/>
        <w:t xml:space="preserve">2. Признать утратившим силу Приказ Министерства внутренних дел </w:t>
      </w:r>
      <w:hyperlink r:id="rId22" w:tooltip="(УТРАТИЛ СИЛУ 27.02.2019) Об утверждении и введении в действие &quot;Правил производства судебно-биологических экспертиз и исследований и генотипоскопических экспертиз вещественных доказательств биологического происхождения  в экспертно-криминалистическом центре Министерства внутренних дел Приднестровской Молдавской Республики&quot;" w:history="1">
        <w:r>
          <w:rPr>
            <w:rStyle w:val="a3"/>
          </w:rPr>
          <w:t>Приднестровской Молдавской Республики от 13 ноября 2006 года № 367 "Об утверждении и введении в действие "Правил производства судебно-биологических экспертиз и исследований и генотипоскопических экспертиз вещественных доказательств биологического происхождения в Экспертно-криминалистическом центре Министерства внутренних дел Приднестровской Молдавской Республики"</w:t>
        </w:r>
      </w:hyperlink>
      <w:r>
        <w:t> (Регистрационный № 3743 от 1 декабря 2006 года) (САЗ 06-49).</w:t>
      </w:r>
    </w:p>
    <w:p w14:paraId="3B4634AF" w14:textId="77777777" w:rsidR="00725093" w:rsidRDefault="00000000">
      <w:pPr>
        <w:ind w:firstLine="480"/>
        <w:jc w:val="both"/>
      </w:pPr>
      <w:r>
        <w:t>3. Начальникам органов и подразделений Министерства внутренних дел Приднестровской Молдавской Республики организовать изучение и неукоснительное исполнение данных Правил.</w:t>
      </w:r>
    </w:p>
    <w:p w14:paraId="0F5FF505" w14:textId="77777777" w:rsidR="00725093" w:rsidRDefault="00000000">
      <w:pPr>
        <w:ind w:firstLine="480"/>
        <w:jc w:val="both"/>
      </w:pPr>
      <w:r>
        <w:t>4. Ответственность за исполнением настоящего Приказа возложить на начальника Государственного учреждения "Экспертно-криминалистического центра Министерства внутренних дел Приднестровской Молдавской Республики".</w:t>
      </w:r>
    </w:p>
    <w:p w14:paraId="6F477351" w14:textId="77777777" w:rsidR="00725093" w:rsidRDefault="00000000">
      <w:pPr>
        <w:ind w:firstLine="480"/>
        <w:jc w:val="both"/>
      </w:pPr>
      <w:r>
        <w:t>5. Контроль за исполнением настоящего Приказа возложить на заместителя министра внутренних дел - начальника криминальной милиции Министерства внутренних дел Приднестровской Молдавской Республики.</w:t>
      </w:r>
    </w:p>
    <w:p w14:paraId="231FD49A" w14:textId="77777777" w:rsidR="00725093" w:rsidRDefault="00000000">
      <w:pPr>
        <w:ind w:firstLine="480"/>
        <w:jc w:val="both"/>
      </w:pPr>
      <w:r>
        <w:t>6. Направить настоящий Приказ на официальное опубликование в Министерство юстиции Приднестровской Молдавской Республики.</w:t>
      </w:r>
    </w:p>
    <w:p w14:paraId="172BDA42" w14:textId="77777777" w:rsidR="00725093" w:rsidRDefault="00000000">
      <w:pPr>
        <w:ind w:firstLine="480"/>
        <w:jc w:val="both"/>
      </w:pPr>
      <w:r>
        <w:t>7. Настоящий Приказ вступает в силу со дня, следующего за днем его официального опубликования.</w:t>
      </w:r>
    </w:p>
    <w:p w14:paraId="0860E64E" w14:textId="77777777" w:rsidR="00725093" w:rsidRDefault="00000000">
      <w:pPr>
        <w:pStyle w:val="a4"/>
      </w:pPr>
      <w:r>
        <w:rPr>
          <w:b/>
        </w:rPr>
        <w:t>Министр Р. Мова</w:t>
      </w:r>
    </w:p>
    <w:p w14:paraId="086FE707" w14:textId="77777777" w:rsidR="00725093" w:rsidRDefault="00000000">
      <w:pPr>
        <w:pStyle w:val="a4"/>
      </w:pPr>
      <w:r>
        <w:t>г. Тирасполь</w:t>
      </w:r>
      <w:r>
        <w:br/>
        <w:t>26 октября 2018 г.</w:t>
      </w:r>
      <w:r>
        <w:br/>
        <w:t>№ 522</w:t>
      </w:r>
    </w:p>
    <w:p w14:paraId="47FE9CDB" w14:textId="77777777" w:rsidR="00725093" w:rsidRDefault="00000000">
      <w:pPr>
        <w:pStyle w:val="a4"/>
        <w:jc w:val="right"/>
      </w:pPr>
      <w:r>
        <w:t>Приложение</w:t>
      </w:r>
      <w:r>
        <w:br/>
        <w:t>к Приказу Министерства внутренних дел</w:t>
      </w:r>
      <w:r>
        <w:br/>
        <w:t>Приднестровской Молдавской Республики</w:t>
      </w:r>
      <w:r>
        <w:br/>
        <w:t>от 26 октября 2018 г. № 522</w:t>
      </w:r>
    </w:p>
    <w:p w14:paraId="0DD468EF" w14:textId="77777777" w:rsidR="00725093" w:rsidRDefault="00000000">
      <w:pPr>
        <w:pStyle w:val="1"/>
        <w:ind w:firstLine="480"/>
        <w:jc w:val="center"/>
      </w:pPr>
      <w:r>
        <w:lastRenderedPageBreak/>
        <w:t>Правила</w:t>
      </w:r>
      <w:r>
        <w:br/>
        <w:t>назначения и производства судебно-биологических, генотипоскопических экспертиз и исследований объектов биологического происхождения в Государственном учреждении "Экспертно-криминалистический центр Министерства внутренних дел Приднестровской Молдавской Республики"</w:t>
      </w:r>
    </w:p>
    <w:p w14:paraId="28CA5777" w14:textId="77777777" w:rsidR="00725093" w:rsidRDefault="00000000">
      <w:pPr>
        <w:pStyle w:val="2"/>
        <w:ind w:firstLine="480"/>
        <w:jc w:val="center"/>
      </w:pPr>
      <w:r>
        <w:t>1. Общая часть</w:t>
      </w:r>
    </w:p>
    <w:p w14:paraId="758A445F" w14:textId="77777777" w:rsidR="00725093" w:rsidRDefault="00000000">
      <w:pPr>
        <w:ind w:firstLine="480"/>
        <w:jc w:val="both"/>
      </w:pPr>
      <w:r>
        <w:t>1. Настоящие Правила устанавливают порядок назначения и производства судебно-биологических, генотипоскопических экспертиз и исследований объектов биологического происхождения Отделом экспертиз биологических объектов (далее - ОЭБО) Государственного учреждения "Экспертно-криминалистический центр Министерства внутренних дел Приднестровской Молдавской Республики (далее - ГУ "ЭКЦ МВД ПМР").</w:t>
      </w:r>
    </w:p>
    <w:p w14:paraId="546DF00A" w14:textId="77777777" w:rsidR="00725093" w:rsidRDefault="00000000">
      <w:pPr>
        <w:ind w:firstLine="480"/>
        <w:jc w:val="both"/>
      </w:pPr>
      <w:r>
        <w:t>2. Целью судебно-биологической экспертизы (исследования) является определение наличия, вида, группы и установление пригодности для идентификации личности объектов биологического происхождения (кровь, выделения, волосы, ткани и клетки) с применением специальных познаний в области судебной медицины и биологии.</w:t>
      </w:r>
    </w:p>
    <w:p w14:paraId="189E8F78" w14:textId="77777777" w:rsidR="00725093" w:rsidRDefault="00000000">
      <w:pPr>
        <w:ind w:firstLine="480"/>
        <w:jc w:val="both"/>
      </w:pPr>
      <w:r>
        <w:t>3. Целью генотипоскопической экспертизы (исследования) является идентификация личности и определение биологического родства по уголовным и гражданским делам, с помощью молекулярно-генетических методов анализа.</w:t>
      </w:r>
    </w:p>
    <w:p w14:paraId="15F2AE49" w14:textId="77777777" w:rsidR="00725093" w:rsidRDefault="00000000">
      <w:pPr>
        <w:ind w:firstLine="480"/>
        <w:jc w:val="both"/>
      </w:pPr>
      <w:r>
        <w:t>4. Судебно-биологические экспертизы (исследования) и генотипоскопические экспертизы (исследования) объектов биологического происхождения проводятся в помещении ОЭБО ГУ "ЭКЦ МВД ПМР", оборудованном территориально-автономными операционными зонами, каждая из которых предназначена для выполнения определенного круга операций.</w:t>
      </w:r>
    </w:p>
    <w:p w14:paraId="1A14E922" w14:textId="77777777" w:rsidR="00725093" w:rsidRDefault="00000000">
      <w:pPr>
        <w:ind w:firstLine="480"/>
        <w:jc w:val="both"/>
      </w:pPr>
      <w:r>
        <w:t>5. Для проведения судебно-биологической экспертизы (исследования) и генотипоскопической экспертизы (исследования) (далее - экспертиза (исследование)) орган (лицо), назначивший экспертизу (исследование), обязан представить:</w:t>
      </w:r>
    </w:p>
    <w:p w14:paraId="2F408330" w14:textId="77777777" w:rsidR="00725093" w:rsidRDefault="00000000">
      <w:pPr>
        <w:ind w:firstLine="480"/>
        <w:jc w:val="both"/>
      </w:pPr>
      <w:r>
        <w:t>а) постановление (направление) органов следствия, дознания или определение суда, в которых полно излагаются обстоятельства дела, точно формулируются вопросы, требующие разрешения, перечисляются объекты, подлежащие экспертизе (исследованию), с указанием места и даты их изъятия, а также описанием упаковки;</w:t>
      </w:r>
    </w:p>
    <w:p w14:paraId="58F58700" w14:textId="77777777" w:rsidR="00725093" w:rsidRDefault="00000000">
      <w:pPr>
        <w:ind w:firstLine="480"/>
        <w:jc w:val="both"/>
      </w:pPr>
      <w:r>
        <w:t>б) объекты биологического происхождения, подлежащие экспертизе (исследованию);</w:t>
      </w:r>
    </w:p>
    <w:p w14:paraId="5E48FE8A" w14:textId="77777777" w:rsidR="00725093" w:rsidRDefault="00000000">
      <w:pPr>
        <w:ind w:firstLine="480"/>
        <w:jc w:val="both"/>
      </w:pPr>
      <w:r>
        <w:lastRenderedPageBreak/>
        <w:t>в) образцы биологического материала для сравнительного исследования (кровь, выделения, волосы и другие) проверяемых лиц;</w:t>
      </w:r>
    </w:p>
    <w:p w14:paraId="3159D16B" w14:textId="77777777" w:rsidR="00725093" w:rsidRDefault="00000000">
      <w:pPr>
        <w:ind w:firstLine="480"/>
        <w:jc w:val="both"/>
      </w:pPr>
      <w:r>
        <w:t>г) копии протоколов, в которых отражены сведения о порядке обнаружения, фиксации, изъятии и упаковки объектов биологического происхождения;</w:t>
      </w:r>
    </w:p>
    <w:p w14:paraId="5DC3D52E" w14:textId="77777777" w:rsidR="00725093" w:rsidRDefault="00000000">
      <w:pPr>
        <w:ind w:firstLine="480"/>
        <w:jc w:val="both"/>
      </w:pPr>
      <w:r>
        <w:t>д) иные материалы и объекты, необходимые для проведения экспертизы (исследования) и дачи заключения (копии заключения судебно-медицинской экспертизы трупа или освидетельствования живого лица; первичное заключение эксперта (справки эксперта); материалы дела, относящиеся к предмету экспертизы (исследования)). Материалы дела должны быть сшиты, пронумерованы. К материалам дела прилагается опись.</w:t>
      </w:r>
    </w:p>
    <w:p w14:paraId="3CD62159" w14:textId="77777777" w:rsidR="00725093" w:rsidRDefault="00000000">
      <w:pPr>
        <w:ind w:firstLine="480"/>
        <w:jc w:val="both"/>
      </w:pPr>
      <w:r>
        <w:t>Ходатайство эксперта о предоставлении ему дополнительных материалов направляется органу (лицу), назначившему экспертизу, сразу после обнаружения неполноты материалов, предоставленных на экспертизу (исследование). Ходатайство составляется экспертом в двух экземплярах, один из которых направляется адресату, а второй хранится в экспертном подразделении. В случае, когда дальнейшее проведение экспертизы (исследования) невозможно из-за отсутствия дополнительных материалов, ее проведение приостанавливается в день направления экспертом письменного ходатайства о предоставлении дополнительных материалов и возобновляется со дня получения всех запрашиваемых материалов. В случае непредоставления дополнительных материалов в течение пятнадцати дней либо поступления в указанный срок письменного сообщения о невозможности их предоставления, оформляется заключение с ответами на вопросы, для разрешения которых было достаточно предоставленных материалов. Если ни на один из поставленных вопросов дать ответ не представляется возможным, то эксперт направляет органу (лицу), назначившему экспертизу, мотивированное письменное сообщение о невозможности дачи заключения.</w:t>
      </w:r>
    </w:p>
    <w:p w14:paraId="7DCA32CA" w14:textId="77777777" w:rsidR="00725093" w:rsidRDefault="00000000">
      <w:pPr>
        <w:ind w:firstLine="480"/>
        <w:jc w:val="both"/>
      </w:pPr>
      <w:r>
        <w:t>Материалы дела, медицинские документы, иные материалы и объекты для экспертизы (исследования) находятся в распоряжении эксперта в течение всего срока производства экспертизы (исследования). Их досрочное возвращение органу (лицу), назначившему экспертизу, возможно по письменному согласованию между этим органом (лицом) и руководителем экспертного подразделения. В случае временного изъятия из экспертного подразделения во время производства экспертизы (исследования) материалов дела органом (лицом), назначившим экспертизу, руководитель экспертного учреждения (лицо, уполномоченное им) вправе не включать в срок производства экспертизы время с момента изъятия материалов дела до момента их возвращения эксперту, если отсутствие материалов будет препятствовать продолжению экспертизы (исследования).</w:t>
      </w:r>
    </w:p>
    <w:p w14:paraId="510B58F5" w14:textId="77777777" w:rsidR="00725093" w:rsidRDefault="00000000">
      <w:pPr>
        <w:ind w:firstLine="480"/>
        <w:jc w:val="both"/>
      </w:pPr>
      <w:r>
        <w:t>6. Основаниями отказа в проведении экспертизы (исследования) в ОЭБО ГУ "ЭКЦ МВД ПМР" и регистрации в канцелярии отдела документационного обеспечения (далее - ОДО) ГУ "ЭКЦ МВД ПМР" являются:</w:t>
      </w:r>
    </w:p>
    <w:p w14:paraId="3B60864C" w14:textId="77777777" w:rsidR="00725093" w:rsidRDefault="00000000">
      <w:pPr>
        <w:ind w:firstLine="480"/>
        <w:jc w:val="both"/>
      </w:pPr>
      <w:r>
        <w:t>а) нарушение общепринятых методик отбора, транспортировки и хранения объектов биологического происхождения, направляемых на экспертизу (исследование);</w:t>
      </w:r>
    </w:p>
    <w:p w14:paraId="010CDC8B" w14:textId="77777777" w:rsidR="00725093" w:rsidRDefault="00000000">
      <w:pPr>
        <w:ind w:firstLine="480"/>
        <w:jc w:val="both"/>
      </w:pPr>
      <w:r>
        <w:t xml:space="preserve">б) нарушение требований </w:t>
      </w:r>
      <w:hyperlink r:id="rId23" w:tooltip="(ВСТУПИЛ В СИЛУ 10.07.2002) Об утверждении и введении в действие Инструкции &quot;О порядке изъятия, учета, хранения и передачи вещественных доказательств по Уголовным делам, ценностей и иного имущества органами предварительного следствия, дознания и судами в Приднестровской Молдавской Республике&quot;" w:history="1">
        <w:r>
          <w:rPr>
            <w:rStyle w:val="a3"/>
          </w:rPr>
          <w:t>пункта 10 Инструкции "О порядке изъятия, учета, хранения и передачи вещественных доказательств по уголовным делам, ценностей и иного имущества органами предварительного следствия, дознания и судами в Приднестровской Молдавской Республике", утвержденной Приказом Прокуратуры Приднестровской Молдавской Республики, Министерства внутренних дел Приднестровской Молдавской Республики, Министерства юстиции Приднестровской Молдавской Республики, Верховного суда Приднестровской Молдавской Республики, Министерства государственной безопасности Приднестровской Молдавской Республики, Государственного таможенного комитета Приднестровской Молдавской Республики от 10 июля 2002 года № 91-02/108/17/215/248/34-к</w:t>
        </w:r>
      </w:hyperlink>
      <w:r>
        <w:t> (регистрационный № 1806 от 9 октября 2002 года) (САЗ 02-41);</w:t>
      </w:r>
    </w:p>
    <w:p w14:paraId="6575662F" w14:textId="77777777" w:rsidR="00725093" w:rsidRDefault="00000000">
      <w:pPr>
        <w:ind w:firstLine="480"/>
        <w:jc w:val="both"/>
      </w:pPr>
      <w:r>
        <w:t>в) отсутствие документов и объектов, указанных в пункте 5 настоящих Правил.</w:t>
      </w:r>
    </w:p>
    <w:p w14:paraId="63DE00ED" w14:textId="77777777" w:rsidR="00725093" w:rsidRDefault="00000000">
      <w:pPr>
        <w:ind w:firstLine="480"/>
        <w:jc w:val="both"/>
      </w:pPr>
      <w:r>
        <w:lastRenderedPageBreak/>
        <w:t>7. Прием на экспертизу (исследование) объектов и материалов осуществляет сотрудник ОЭБО ГУ "ЭКЦ МВД ПМР", который проверяет целостность упаковки объектов, соответствие представленных материалов описанию и перечню объектов, указанных в постановлении (направлении), определении суда о назначении экспертизы (исследования), и в дальнейшем представляет полученные материалы для регистрации в ОДО ГУ "ЭКЦ МВД ПМР".</w:t>
      </w:r>
    </w:p>
    <w:p w14:paraId="56D65FF5" w14:textId="77777777" w:rsidR="00725093" w:rsidRDefault="00000000">
      <w:pPr>
        <w:ind w:firstLine="480"/>
        <w:jc w:val="both"/>
      </w:pPr>
      <w:r>
        <w:t>8. Работник канцелярии ОДО ГУ "ЭКЦ МВД ПМР" регистрирует поступившие материалы в "Журнале приема и выдачи объектов, поступающих на экспертизу и исследование" (Приложение №1 к настоящим Правилам).</w:t>
      </w:r>
    </w:p>
    <w:p w14:paraId="792C2E5D" w14:textId="77777777" w:rsidR="00725093" w:rsidRDefault="00000000">
      <w:pPr>
        <w:ind w:firstLine="480"/>
        <w:jc w:val="both"/>
      </w:pPr>
      <w:r>
        <w:t>Регистрация экспертиз (исследований), поступивших в ОЭБО ГУ "ЭКЦ МВД ПМР", с присвоением порядкового номера производится в "Журнале регистрации материалов, поступивших на экспертизу и исследование" (Приложение № 2 к настоящим Правилам).</w:t>
      </w:r>
    </w:p>
    <w:p w14:paraId="2EFBA95C" w14:textId="77777777" w:rsidR="00725093" w:rsidRDefault="00000000">
      <w:pPr>
        <w:ind w:firstLine="480"/>
        <w:jc w:val="both"/>
      </w:pPr>
      <w:r>
        <w:t>9. Эксперт ОЭБО ГУ "ЭКЦ МВД ПМР" в ходе выполнения экспертизы (исследования) выполняет работу по:</w:t>
      </w:r>
    </w:p>
    <w:p w14:paraId="079D06C4" w14:textId="77777777" w:rsidR="00725093" w:rsidRDefault="00000000">
      <w:pPr>
        <w:ind w:firstLine="480"/>
        <w:jc w:val="both"/>
      </w:pPr>
      <w:r>
        <w:t>а) изучению документов;</w:t>
      </w:r>
    </w:p>
    <w:p w14:paraId="2E19469A" w14:textId="77777777" w:rsidR="00725093" w:rsidRDefault="00000000">
      <w:pPr>
        <w:ind w:firstLine="480"/>
        <w:jc w:val="both"/>
      </w:pPr>
      <w:r>
        <w:t>б) осмотру упаковки, указанных на ней пояснительных надписей и печати; осмотру и описанию представленных объектов и документов;</w:t>
      </w:r>
    </w:p>
    <w:p w14:paraId="1AB63AAB" w14:textId="77777777" w:rsidR="00725093" w:rsidRDefault="00000000">
      <w:pPr>
        <w:ind w:firstLine="480"/>
        <w:jc w:val="both"/>
      </w:pPr>
      <w:r>
        <w:t>в) описанию локализации следов биологического происхождения на объекте экспертизы (исследования);</w:t>
      </w:r>
    </w:p>
    <w:p w14:paraId="5BF578DA" w14:textId="77777777" w:rsidR="00725093" w:rsidRDefault="00000000">
      <w:pPr>
        <w:ind w:firstLine="480"/>
        <w:jc w:val="both"/>
      </w:pPr>
      <w:r>
        <w:t>г) составлению плана проведения экспертного исследования в соответствии с поставленными перед экспертом вопросами, представленными объектами и имеющимися в распоряжении эксперта методиками и расходными материалами; установлению индивидуализирующих признаков объектов;</w:t>
      </w:r>
    </w:p>
    <w:p w14:paraId="732A2F04" w14:textId="77777777" w:rsidR="00725093" w:rsidRDefault="00000000">
      <w:pPr>
        <w:ind w:firstLine="480"/>
        <w:jc w:val="both"/>
      </w:pPr>
      <w:r>
        <w:t>д) раздельной оценке выявленных признаков, сопоставлению и оценке различия и совпадения признаков, анализа всей совокупности экспертных данных с целью разрешения поставленных вопросов;</w:t>
      </w:r>
    </w:p>
    <w:p w14:paraId="345A94E7" w14:textId="77777777" w:rsidR="00725093" w:rsidRDefault="00000000">
      <w:pPr>
        <w:ind w:firstLine="480"/>
        <w:jc w:val="both"/>
      </w:pPr>
      <w:r>
        <w:t>е) составлению выводов по результатам произведенного экспертного исследования.</w:t>
      </w:r>
    </w:p>
    <w:p w14:paraId="120F43DA" w14:textId="77777777" w:rsidR="00725093" w:rsidRDefault="00000000">
      <w:pPr>
        <w:ind w:firstLine="480"/>
        <w:jc w:val="both"/>
      </w:pPr>
      <w:r>
        <w:t>10. По окончании экспертизы (исследования) исследованные объекты в упакованном и опечатанном виде эксперт, проводивший экспертизу (исследование), через канцелярию ОДО ГУ "ЭКЦ МВД ПМР" возвращает органу (лицу), назначившему экспертизу (исследование). Уполномоченное лицо, получающее экспертизу (исследование) расписывается в "Журнале приема и выдачи объектов, поступающих на экспертизу и исследование" (Приложение № 2 к настоящим Правилам), указывая дату, свою фамилию, имя, отчество, а также вид и номер документа, удостоверяющего его личность.</w:t>
      </w:r>
    </w:p>
    <w:p w14:paraId="6EAAC52E" w14:textId="77777777" w:rsidR="00725093" w:rsidRDefault="00000000">
      <w:pPr>
        <w:pStyle w:val="2"/>
        <w:ind w:firstLine="480"/>
        <w:jc w:val="center"/>
      </w:pPr>
      <w:r>
        <w:t>2. Специальная часть</w:t>
      </w:r>
    </w:p>
    <w:p w14:paraId="285B5E63" w14:textId="77777777" w:rsidR="00725093" w:rsidRDefault="00000000">
      <w:pPr>
        <w:ind w:firstLine="480"/>
        <w:jc w:val="both"/>
      </w:pPr>
      <w:r>
        <w:t>11. Особенности порядка производства судебно-биологической экспертизы (исследования):</w:t>
      </w:r>
    </w:p>
    <w:p w14:paraId="5440CC5D" w14:textId="77777777" w:rsidR="00725093" w:rsidRDefault="00000000">
      <w:pPr>
        <w:ind w:firstLine="480"/>
        <w:jc w:val="both"/>
      </w:pPr>
      <w:r>
        <w:t>а) при определении нагрузки на экспертов при производстве конкретных судебно-биологических экспертиз (исследований) рекомендуется исходить из того, что эксперт может одновременно проводить судебно-биологические экспертизы (исследования) по трем делам. В отдельных случаях допустимо увеличение количества одновременно проводимых судебно-биологических экспертиз (исследований), исходя из их сложности и квалификации эксперта;</w:t>
      </w:r>
    </w:p>
    <w:p w14:paraId="54ECE1CD" w14:textId="77777777" w:rsidR="00725093" w:rsidRDefault="00000000">
      <w:pPr>
        <w:ind w:firstLine="480"/>
        <w:jc w:val="both"/>
      </w:pPr>
      <w:r>
        <w:t>б) при одновременном проведении судебно-биологических экспертиз (исследований) по нескольким делам, эксперт осуществляет четкое и подробное ведение рабочих таблиц, записей, обозначения объектов и иные действия по каждому объекту, исключающие их смешивание;</w:t>
      </w:r>
    </w:p>
    <w:p w14:paraId="1E9F6365" w14:textId="77777777" w:rsidR="00725093" w:rsidRDefault="00000000">
      <w:pPr>
        <w:ind w:firstLine="480"/>
        <w:jc w:val="both"/>
      </w:pPr>
      <w:r>
        <w:t xml:space="preserve">в) при производстве судебно-биологической экспертизы (исследования) эксперт ОЭБО ГУ "ЭКЦ МВД ПМР" ведет рабочие записи, в которых подробно отмечает свои ежедневные </w:t>
      </w:r>
      <w:r>
        <w:lastRenderedPageBreak/>
        <w:t>действия, а также: соответствие номеров на объектах, приданных исследуемым следам, основные параметры опытов, сведения о реагентах (титр, разведение, специфичность, изготовитель, срок годности и так далее), данные о контрольном материале, вводимом в реакции;</w:t>
      </w:r>
    </w:p>
    <w:p w14:paraId="63B4DF13" w14:textId="77777777" w:rsidR="00725093" w:rsidRDefault="00000000">
      <w:pPr>
        <w:ind w:firstLine="480"/>
        <w:jc w:val="both"/>
      </w:pPr>
      <w:r>
        <w:t>г) при проведении специальных судебно-биологических экспертиз (исследований) по установлению наличия следов, их вида, группы, пола и так далее, расходование представленных объектов производят с учетом обеспечения полноты исследований, а также возможности дополнительных или повторных действий с ними. Исключение составляют исследования чрезвычайно малых объектов, без полного уничтожения которых невозможно решить поставленные вопросы. На повреждение предметов, уничтожение следов или изменение их конфигурации должно быть разрешение органа (лица), назначившего экспертизу, отраженного в постановлении (направлении) органов следствия, дознания или определении суда;</w:t>
      </w:r>
    </w:p>
    <w:p w14:paraId="2CDEBD63" w14:textId="77777777" w:rsidR="00725093" w:rsidRDefault="00000000">
      <w:pPr>
        <w:ind w:firstLine="480"/>
        <w:jc w:val="both"/>
      </w:pPr>
      <w:r>
        <w:t>д) жидкую кровь и иные скоропортящиеся материалы исследуют не позднее следующего дня после их поступления в ОЭБО ГУ "ЭКЦ МВД ПМР";</w:t>
      </w:r>
    </w:p>
    <w:p w14:paraId="78143E80" w14:textId="77777777" w:rsidR="00725093" w:rsidRDefault="00000000">
      <w:pPr>
        <w:ind w:firstLine="480"/>
        <w:jc w:val="both"/>
      </w:pPr>
      <w:r>
        <w:t>е) маркировка объектов должна быть четкой и оставаться неизменной при проведении одного исследования во всех реакциях;</w:t>
      </w:r>
    </w:p>
    <w:p w14:paraId="3BAEB5E7" w14:textId="77777777" w:rsidR="00725093" w:rsidRDefault="00000000">
      <w:pPr>
        <w:ind w:firstLine="480"/>
        <w:jc w:val="both"/>
      </w:pPr>
      <w:r>
        <w:t>ж) перед проведением каждого исследования, в зависимости от его вида, проверяют пригодность используемых реактивов и реагентов (их специфичность и активность);</w:t>
      </w:r>
    </w:p>
    <w:p w14:paraId="38852D12" w14:textId="77777777" w:rsidR="00725093" w:rsidRDefault="00000000">
      <w:pPr>
        <w:ind w:firstLine="480"/>
        <w:jc w:val="both"/>
      </w:pPr>
      <w:r>
        <w:t>з) осмотр и описание объектов производят с указанием полной характеристики следов биологического происхождения. При этом соблюдают основной принцип, позволяющий в последующем на любом этапе уголовного или гражданского процесса опознать эти предметы, то есть подробно указывают фактуру, основные размеры, отличительные детали, цвет, изношенность, повреждения, загрязнения и другое;</w:t>
      </w:r>
    </w:p>
    <w:p w14:paraId="681ED052" w14:textId="77777777" w:rsidR="00725093" w:rsidRDefault="00000000">
      <w:pPr>
        <w:ind w:firstLine="480"/>
        <w:jc w:val="both"/>
      </w:pPr>
      <w:r>
        <w:t>и) допускается описание с осуществлением фотографирования объектов судебно-биологической экспертизы (исследования);</w:t>
      </w:r>
    </w:p>
    <w:p w14:paraId="012AD041" w14:textId="77777777" w:rsidR="00725093" w:rsidRDefault="00000000">
      <w:pPr>
        <w:ind w:firstLine="480"/>
        <w:jc w:val="both"/>
      </w:pPr>
      <w:r>
        <w:t>к) при описании следов биологического происхождения в обязательном порядке отмечают локализацию следа, его цвет, форму, контуры, степень пропитывания, уплотнение, размеры, особенности;</w:t>
      </w:r>
    </w:p>
    <w:p w14:paraId="628407C1" w14:textId="77777777" w:rsidR="00725093" w:rsidRDefault="00000000">
      <w:pPr>
        <w:ind w:firstLine="480"/>
        <w:jc w:val="both"/>
      </w:pPr>
      <w:r>
        <w:t>л) следы, подвергавшиеся уничтожению, описывают с особой тщательностью, предусматривая подпарывание швов, разбор орудий (оружия) преступления и так далее;</w:t>
      </w:r>
    </w:p>
    <w:p w14:paraId="7E2A7584" w14:textId="77777777" w:rsidR="00725093" w:rsidRDefault="00000000">
      <w:pPr>
        <w:ind w:firstLine="480"/>
        <w:jc w:val="both"/>
      </w:pPr>
      <w:r>
        <w:t>м) эксперт подробно описывает образцы, представленные для сравнения вместе с объектами биологического происхождения;</w:t>
      </w:r>
    </w:p>
    <w:p w14:paraId="3DEB3EAA" w14:textId="77777777" w:rsidR="00725093" w:rsidRDefault="00000000">
      <w:pPr>
        <w:ind w:firstLine="480"/>
        <w:jc w:val="both"/>
      </w:pPr>
      <w:r>
        <w:t xml:space="preserve">н) на основании проведенных судебно-биологических экспертиз (исследований) с учетом их результатов эксперт от своего имени либо комиссия экспертов в соответствии с требованиями </w:t>
      </w:r>
      <w:hyperlink r:id="rId24" w:tooltip="(ВСТУПИЛ В СИЛУ 19.03.2013) О судебно-экспертной деятельности в Приднестровской Молдавской Республике" w:history="1">
        <w:r>
          <w:rPr>
            <w:rStyle w:val="a3"/>
          </w:rPr>
          <w:t>статьи 24 Закона Приднестровской Молдавской Республики от 11 марта 2013 года № 53-3-V "О судебно-экспертной деятельности в Приднестровской Молдавской Республики"</w:t>
        </w:r>
      </w:hyperlink>
      <w:r>
        <w:t> (САЗ 13-10) дают письменное заключение и подписывают его. Результаты судебно-биологических экспертиз (исследований) могут излагаться либо в специальных таблицах, либо в текстовой форме. В выводах излагаются данные по групповой характеристике лиц (в необходимых случаях - по категории выделительства), образцы крови и выделений которых представлены для сравнительного исследования, перечисление результатов исследования объектов, направленных на судебно-биологические экспертизу (исследований) и формулируется общий вывод.</w:t>
      </w:r>
    </w:p>
    <w:p w14:paraId="04CFE763" w14:textId="77777777" w:rsidR="00725093" w:rsidRDefault="00000000">
      <w:pPr>
        <w:pStyle w:val="2"/>
        <w:ind w:firstLine="480"/>
        <w:jc w:val="center"/>
      </w:pPr>
      <w:r>
        <w:t>3. Судебно-биологическая экспертиза (исследование) крови</w:t>
      </w:r>
    </w:p>
    <w:p w14:paraId="36EC7C75" w14:textId="77777777" w:rsidR="00725093" w:rsidRDefault="00000000">
      <w:pPr>
        <w:ind w:firstLine="480"/>
        <w:jc w:val="both"/>
      </w:pPr>
      <w:r>
        <w:lastRenderedPageBreak/>
        <w:t>12. План проведения судебно-биологических экспертиз (исследований) крови соответствует общим принципам: выявления следов, напоминающих кровь, определения её наличия, вида, группы, идентификация. Выявление следов, похожих на кровь, производят визуально при естественном свете, ярком солнечном или искусственном освещении с использованием лупы или без нее; осмотром в ультрафиолетовых лучах; осторожным поскабливанием острым предметом поверхности следа, особенно, если он имеет темный цвет; микроскопией вырезок из подозрительных участков, которые предварительно обрабатывают концентрированной серной кислотой; с помощью иммунологических тестов для обнаружения крови.</w:t>
      </w:r>
    </w:p>
    <w:p w14:paraId="296F76E3" w14:textId="77777777" w:rsidR="00725093" w:rsidRDefault="00000000">
      <w:pPr>
        <w:ind w:firstLine="480"/>
        <w:jc w:val="both"/>
      </w:pPr>
      <w:r>
        <w:t>13. Реакции, с помощью которых устанавливается наличие крови, основаны на обнаружении гемоглобина и его производных, и могут осуществляться методами микроскопии, тонкослойной хроматографией, иммуноэлектрофорезом, электрофорезом, микролюминесценцией с последующим выявлением спектра поглощения.</w:t>
      </w:r>
    </w:p>
    <w:p w14:paraId="3430A8E6" w14:textId="77777777" w:rsidR="00725093" w:rsidRDefault="00000000">
      <w:pPr>
        <w:ind w:firstLine="480"/>
        <w:jc w:val="both"/>
      </w:pPr>
      <w:r>
        <w:t>Перечисленные методы являются методами выбора, и любой из них может быть использован экспертом в работе, однако при этом следует учитывать чувствительность каждого метода. Если вначале был использован менее чувствительный и получена отрицательная реакция, то обязательно используют более чувствительный и только потом может быть сделан вывод о необнаружении крови.</w:t>
      </w:r>
    </w:p>
    <w:p w14:paraId="49CC4F81" w14:textId="77777777" w:rsidR="00725093" w:rsidRDefault="00000000">
      <w:pPr>
        <w:ind w:firstLine="480"/>
        <w:jc w:val="both"/>
      </w:pPr>
      <w:r>
        <w:t>Для вывода о присутствии крови может быть использован любой из перечисленных методов, давший после его применения положительный результат, а для вывода о необнаружении крови - последовательное применение разных методов по нарастанию их чувствительности до исчерпания всех возможных.</w:t>
      </w:r>
    </w:p>
    <w:p w14:paraId="3E12DA6F" w14:textId="77777777" w:rsidR="00725093" w:rsidRDefault="00000000">
      <w:pPr>
        <w:ind w:firstLine="480"/>
        <w:jc w:val="both"/>
      </w:pPr>
      <w:r>
        <w:t>14. Отрицательный результат реакции не является основанием для вывода об отсутствии крови - в данном случае эксперт вправе констатировать факт её невыявления.</w:t>
      </w:r>
    </w:p>
    <w:p w14:paraId="7452B49B" w14:textId="77777777" w:rsidR="00725093" w:rsidRDefault="00000000">
      <w:pPr>
        <w:ind w:firstLine="480"/>
        <w:jc w:val="both"/>
      </w:pPr>
      <w:r>
        <w:t>15. Видовую принадлежность определяют только после установления её наличия.</w:t>
      </w:r>
    </w:p>
    <w:p w14:paraId="23E787CF" w14:textId="77777777" w:rsidR="00725093" w:rsidRDefault="00000000">
      <w:pPr>
        <w:ind w:firstLine="480"/>
        <w:jc w:val="both"/>
      </w:pPr>
      <w:r>
        <w:t>16. Вид крови определяют иммунологическими методами, реакция преципитации в жидкой среде, агаре (агарозе) по Оухтерлони, встречный и параллельно - встречный иммуноэлектрофорез на различных носителях, иммунофлюоресценция. Для установления крови человека используют иммунологические тесты (SERATEC(R) HemDirect, ХЕМА-тест либо аналогичные). Выбор методики определяется характером следов крови.</w:t>
      </w:r>
    </w:p>
    <w:p w14:paraId="0451E074" w14:textId="77777777" w:rsidR="00725093" w:rsidRDefault="00000000">
      <w:pPr>
        <w:ind w:firstLine="480"/>
        <w:jc w:val="both"/>
      </w:pPr>
      <w:r>
        <w:t>17. Все поступающие в отдел сыворотки партиями проверяют в отношении активности и специфичности.</w:t>
      </w:r>
    </w:p>
    <w:p w14:paraId="541C63DC" w14:textId="77777777" w:rsidR="00725093" w:rsidRDefault="00000000">
      <w:pPr>
        <w:ind w:firstLine="480"/>
        <w:jc w:val="both"/>
      </w:pPr>
      <w:r>
        <w:t>18. В реакцию по установлению видовой принадлежности обязательно вводят сыворотку, преципитирующую белок человека, и не менее двух иных видовых сывороток, выбор которых диктуется обстоятельствами дела.</w:t>
      </w:r>
    </w:p>
    <w:p w14:paraId="602FBEB8" w14:textId="77777777" w:rsidR="00725093" w:rsidRDefault="00000000">
      <w:pPr>
        <w:ind w:firstLine="480"/>
        <w:jc w:val="both"/>
      </w:pPr>
      <w:r>
        <w:t>19. Вместе с вытяжками из следов крови обязательно готовят вытяжки из незапятнанных участков предметов-носителей (последние используют лишь после получения результатов с вытяжками крови). Если эти вытяжки с какими-либо видовыми сыворотками дали отрицательную реакцию, то нецелесообразно исследовать контроль с этими реагентами.</w:t>
      </w:r>
    </w:p>
    <w:p w14:paraId="22B483D8" w14:textId="77777777" w:rsidR="00725093" w:rsidRDefault="00000000">
      <w:pPr>
        <w:ind w:firstLine="480"/>
        <w:jc w:val="both"/>
      </w:pPr>
      <w:r>
        <w:t>20. Если кровь на объектах исследования происходит от человека, то следующим этапом является определение групповой принадлежности крови по системе АВО, применение которой обосновано специальными рекомендациями, письмами, научными статьями.</w:t>
      </w:r>
    </w:p>
    <w:p w14:paraId="0232B7A2" w14:textId="77777777" w:rsidR="00725093" w:rsidRDefault="00000000">
      <w:pPr>
        <w:ind w:firstLine="480"/>
        <w:jc w:val="both"/>
      </w:pPr>
      <w:r>
        <w:t>21. В следах крови человека, смешанной с кровью животных, групповые свойства не определяются.</w:t>
      </w:r>
    </w:p>
    <w:p w14:paraId="6EBB843C" w14:textId="77777777" w:rsidR="00725093" w:rsidRDefault="00000000">
      <w:pPr>
        <w:ind w:firstLine="480"/>
        <w:jc w:val="both"/>
      </w:pPr>
      <w:r>
        <w:t>22. Изучению групповой характеристики крови должно предшествовать исследование образцов крови проходящих по делу лиц.</w:t>
      </w:r>
    </w:p>
    <w:p w14:paraId="2ACCEF75" w14:textId="77777777" w:rsidR="00725093" w:rsidRDefault="00000000">
      <w:pPr>
        <w:ind w:firstLine="480"/>
        <w:jc w:val="both"/>
      </w:pPr>
      <w:r>
        <w:t>Образцы, по возможности, вначале исследуют в жидком виде, а затем их вводят во все реакции в виде высушенных на марле пятен.</w:t>
      </w:r>
    </w:p>
    <w:p w14:paraId="130B1713" w14:textId="77777777" w:rsidR="00725093" w:rsidRDefault="00000000">
      <w:pPr>
        <w:ind w:firstLine="480"/>
        <w:jc w:val="both"/>
      </w:pPr>
      <w:r>
        <w:lastRenderedPageBreak/>
        <w:t>23. В отсутствие потерпевшего или подозреваемого в качестве образцов можно исследовать их носильные вещи и устанавливать группу крови путем изучения пота. В исключительных случаях в качестве образца можно исследовать одежду, снятую с трупа (это действие обязательно должно быть оговорено в постановлении о назначении судебно-биологической экспертизы (исследования)).</w:t>
      </w:r>
    </w:p>
    <w:p w14:paraId="2B80F6E4" w14:textId="77777777" w:rsidR="00725093" w:rsidRDefault="00000000">
      <w:pPr>
        <w:ind w:firstLine="480"/>
        <w:jc w:val="both"/>
      </w:pPr>
      <w:r>
        <w:t>24. Образцы крови у проходящих по делу лиц отбирают по поручению судебно-следственных органов медицинские работники больниц, поликлиник, мест заключения и других учреждений с последующей доставкой в ГУ "ЭКЦ МВД ПМР" (одновременно доставляют жидкую кровь и подготовленное при ее отборе пятно на марле). Образец жидкой крови от трупа берет судебно-медицинский эксперт, производящий вскрытие. Целесообразно брать кровь из полости сердца.</w:t>
      </w:r>
    </w:p>
    <w:p w14:paraId="0D8C4B25" w14:textId="77777777" w:rsidR="00725093" w:rsidRDefault="00000000">
      <w:pPr>
        <w:ind w:firstLine="480"/>
        <w:jc w:val="both"/>
      </w:pPr>
      <w:r>
        <w:t>25. Если кровь поступает в виде пятен на марле, то исследование ее производят вместе с объектами исследования.</w:t>
      </w:r>
    </w:p>
    <w:p w14:paraId="5A2B7466" w14:textId="77777777" w:rsidR="00725093" w:rsidRDefault="00000000">
      <w:pPr>
        <w:ind w:firstLine="480"/>
        <w:jc w:val="both"/>
      </w:pPr>
      <w:r>
        <w:t>26. Генотипоскопическая экспертиза (исследование) крови проводится в случае необходимости идентификации следов, и в случаях, если невозможно определить групповую принадлежность крови (малое количество крови на объектах, давность образования следов более одного месяца, влияние предметоносителя на реагенты).</w:t>
      </w:r>
    </w:p>
    <w:p w14:paraId="501D6277" w14:textId="77777777" w:rsidR="00725093" w:rsidRDefault="00000000">
      <w:pPr>
        <w:pStyle w:val="2"/>
        <w:ind w:firstLine="480"/>
        <w:jc w:val="center"/>
      </w:pPr>
      <w:r>
        <w:t>4. Судебно-биологическая экспертиза (исследование) спермы</w:t>
      </w:r>
    </w:p>
    <w:p w14:paraId="12576146" w14:textId="77777777" w:rsidR="00725093" w:rsidRDefault="00000000">
      <w:pPr>
        <w:ind w:firstLine="480"/>
        <w:jc w:val="both"/>
      </w:pPr>
      <w:r>
        <w:t>27. Изучение объектов исследования по делам о половых преступлениях начинают с поиска следов, напоминающих пятна спермы. Это достигается осмотром предметов при ярком естественном или искусственном освещении, в ультрафиолетовых лучах, реакцией с картофельным соком, реакцией с нафтилфосфатом, использованием иммунологических тестов для обнаружения специфичного белка простаты (PSA) и семелогенина.</w:t>
      </w:r>
    </w:p>
    <w:p w14:paraId="3D3B7F70" w14:textId="77777777" w:rsidR="00725093" w:rsidRDefault="00000000">
      <w:pPr>
        <w:ind w:firstLine="480"/>
        <w:jc w:val="both"/>
      </w:pPr>
      <w:r>
        <w:t>28. В следах, напоминающих пятна спермы, ее наличие устанавливают доказательными методами. Любой избранный метод при положительном его результате дает право на вывод о присутствии спермы, в то время как для дачи ответа о её необнаружении следует использовать весь возможный арсенал методик.</w:t>
      </w:r>
    </w:p>
    <w:p w14:paraId="2E94D0B1" w14:textId="77777777" w:rsidR="00725093" w:rsidRDefault="00000000">
      <w:pPr>
        <w:ind w:firstLine="480"/>
        <w:jc w:val="both"/>
      </w:pPr>
      <w:r>
        <w:t>29. Во избежание ошибочного вывода при наличии заболеваний (азооспермия, олигоспермия, некроспермия и другие) при отрицательном результате морфологических поисков следует применять иные методики (в частности с картофельным соком, использование иммунологических тестов для обнаружения специфичного белка простаты (PSA) и семелогенина).</w:t>
      </w:r>
    </w:p>
    <w:p w14:paraId="1E16EA73" w14:textId="77777777" w:rsidR="00725093" w:rsidRDefault="00000000">
      <w:pPr>
        <w:ind w:firstLine="480"/>
        <w:jc w:val="both"/>
      </w:pPr>
      <w:r>
        <w:t>30. Групповую принадлежность спермы по системе АВО определяют по тем же методикам, что и группу крови, с некоторыми модификациями, описанными в соответствующих руководствах.</w:t>
      </w:r>
    </w:p>
    <w:p w14:paraId="702CF093" w14:textId="77777777" w:rsidR="00725093" w:rsidRDefault="00000000">
      <w:pPr>
        <w:ind w:firstLine="480"/>
        <w:jc w:val="both"/>
      </w:pPr>
      <w:r>
        <w:t>31. Перед установлением группы спермы исследованию подвергают образцы крови и выделений лиц, проходящих по делу. При этом устанавливают их групповую характеристику и категорию выделительства.</w:t>
      </w:r>
    </w:p>
    <w:p w14:paraId="07163D74" w14:textId="77777777" w:rsidR="00725093" w:rsidRDefault="00000000">
      <w:pPr>
        <w:ind w:firstLine="480"/>
        <w:jc w:val="both"/>
      </w:pPr>
      <w:r>
        <w:t>32. При работе со следами спермы на объектах исследования, а также с образцами крови или слюны следует использовать одни и те же реагенты.</w:t>
      </w:r>
    </w:p>
    <w:p w14:paraId="7B403CF7" w14:textId="77777777" w:rsidR="00725093" w:rsidRDefault="00000000">
      <w:pPr>
        <w:ind w:firstLine="480"/>
        <w:jc w:val="both"/>
      </w:pPr>
      <w:r>
        <w:t>33. Генотипоскопическая экспертиза (исследование) спермы проводится в случае необходимости идентификации следов, и в случаях, если невозможно определить групповую принадлежность спермы (малое количество спермы на объектах, давность образования следов более одного месяца, влияние предметоносителя на реагенты, смешение спермы с биологическим материалом потерпевшей).</w:t>
      </w:r>
    </w:p>
    <w:p w14:paraId="6A6FC7EA" w14:textId="77777777" w:rsidR="00725093" w:rsidRDefault="00000000">
      <w:pPr>
        <w:pStyle w:val="2"/>
        <w:ind w:firstLine="480"/>
        <w:jc w:val="center"/>
      </w:pPr>
      <w:r>
        <w:lastRenderedPageBreak/>
        <w:t>5. Судебно-биологическая экспертиза (исследование) слюны</w:t>
      </w:r>
    </w:p>
    <w:p w14:paraId="5D554355" w14:textId="77777777" w:rsidR="00725093" w:rsidRDefault="00000000">
      <w:pPr>
        <w:ind w:firstLine="480"/>
        <w:jc w:val="both"/>
      </w:pPr>
      <w:r>
        <w:t>34. Приступая к работе с объектами, эксперт должен отыскать следы, похожие на слюну. Данное исследование проводят при ярком освещении, либо в ультрафиолетовых лучах, или используют иммунологические тесты для обнаружения слюны.</w:t>
      </w:r>
    </w:p>
    <w:p w14:paraId="2B05003A" w14:textId="77777777" w:rsidR="00725093" w:rsidRDefault="00000000">
      <w:pPr>
        <w:ind w:firstLine="480"/>
        <w:jc w:val="both"/>
      </w:pPr>
      <w:r>
        <w:t>35. Наличие слюны в следах, выявленных при осмотре объектов, устанавливают реакцией, разработанной Мюллером в модификации Барсегянц.</w:t>
      </w:r>
    </w:p>
    <w:p w14:paraId="79E67D92" w14:textId="77777777" w:rsidR="00725093" w:rsidRDefault="00000000">
      <w:pPr>
        <w:ind w:firstLine="480"/>
        <w:jc w:val="both"/>
      </w:pPr>
      <w:r>
        <w:t>36. На окурках, имеющих признаки пребывания во рту, наличие слюны не устанавливают в целях экономии материала для других видов исследования. Лишь в тех случаях, когда при выявлении группоспецифических антигенов на окурках получают нечеткие результаты, целесообразно прибегнуть к реакции по установлению наличия слюны.</w:t>
      </w:r>
    </w:p>
    <w:p w14:paraId="1A6C3557" w14:textId="77777777" w:rsidR="00725093" w:rsidRDefault="00000000">
      <w:pPr>
        <w:ind w:firstLine="480"/>
        <w:jc w:val="both"/>
      </w:pPr>
      <w:r>
        <w:t>37. Групповые свойства в слюне выявляют теми же методиками, что и в следах спермы (по системе АВО).</w:t>
      </w:r>
    </w:p>
    <w:p w14:paraId="44470247" w14:textId="77777777" w:rsidR="00725093" w:rsidRDefault="00000000">
      <w:pPr>
        <w:ind w:firstLine="480"/>
        <w:jc w:val="both"/>
      </w:pPr>
      <w:r>
        <w:t>38. Перед проведением реакций, направленных на выявление группоспецифических антигенов в слюне, проводят исследование образцов крови.</w:t>
      </w:r>
    </w:p>
    <w:p w14:paraId="732F360E" w14:textId="77777777" w:rsidR="00725093" w:rsidRDefault="00000000">
      <w:pPr>
        <w:ind w:firstLine="480"/>
        <w:jc w:val="both"/>
      </w:pPr>
      <w:r>
        <w:t>39. Генотипоскопическая экспертиза (исследование) слюны проводится в случае необходимости идентификации следов, и в случаях, если невозможно определить групповую принадлежность слюны (малое количество слюны на объектах, давность образования следов более одного месяца, влияние предметоносителя на реагенты).</w:t>
      </w:r>
    </w:p>
    <w:p w14:paraId="7539B63D" w14:textId="77777777" w:rsidR="00725093" w:rsidRDefault="00000000">
      <w:pPr>
        <w:pStyle w:val="2"/>
        <w:ind w:firstLine="480"/>
        <w:jc w:val="center"/>
      </w:pPr>
      <w:r>
        <w:t>6. Судебно-биологическая экспертиза (исследование) пота</w:t>
      </w:r>
    </w:p>
    <w:p w14:paraId="42112571" w14:textId="77777777" w:rsidR="00725093" w:rsidRDefault="00000000">
      <w:pPr>
        <w:ind w:firstLine="480"/>
        <w:jc w:val="both"/>
      </w:pPr>
      <w:r>
        <w:t>40. В связи с отсутствием строго специфической реакции на установление наличия пота, судебно-биологическую экспертизу (исследование) последнего целесообразно производить в случаях (хроматографией или химическими реакциями):</w:t>
      </w:r>
    </w:p>
    <w:p w14:paraId="26D62D74" w14:textId="77777777" w:rsidR="00725093" w:rsidRDefault="00000000">
      <w:pPr>
        <w:ind w:firstLine="480"/>
        <w:jc w:val="both"/>
      </w:pPr>
      <w:r>
        <w:t>а) установление принадлежности объектов исследования определенному лицу;</w:t>
      </w:r>
    </w:p>
    <w:p w14:paraId="019A86F9" w14:textId="77777777" w:rsidR="00725093" w:rsidRDefault="00000000">
      <w:pPr>
        <w:ind w:firstLine="480"/>
        <w:jc w:val="both"/>
      </w:pPr>
      <w:r>
        <w:t>б) изучение следов рук.</w:t>
      </w:r>
    </w:p>
    <w:p w14:paraId="2038AB0B" w14:textId="77777777" w:rsidR="00725093" w:rsidRDefault="00000000">
      <w:pPr>
        <w:ind w:firstLine="480"/>
        <w:jc w:val="both"/>
      </w:pPr>
      <w:r>
        <w:t>41. Исследование пота на спичках, в подногтевом содержимом, на окурках и прочем проводить не рекомендуется из-за большой вероятности неспецифических результатов.</w:t>
      </w:r>
    </w:p>
    <w:p w14:paraId="39067B65" w14:textId="77777777" w:rsidR="00725093" w:rsidRDefault="00000000">
      <w:pPr>
        <w:ind w:firstLine="480"/>
        <w:jc w:val="both"/>
      </w:pPr>
      <w:r>
        <w:t>42. Если в силу обстоятельств эксперт будет вынужден выявлять присутствие пота на каких-либо носильных вещах, то в подобных случаях к выводу о присутствии пота следует подходить путем исключения наличия в этом пятне слюны и спермы.</w:t>
      </w:r>
    </w:p>
    <w:p w14:paraId="48B8B216" w14:textId="77777777" w:rsidR="00725093" w:rsidRDefault="00000000">
      <w:pPr>
        <w:ind w:firstLine="480"/>
        <w:jc w:val="both"/>
      </w:pPr>
      <w:r>
        <w:t>43. Устанавливать наличие пота на длительно ношеных предметах (подкладке головных уборов, стельках обуви, носках, чулках и другом) нецелесообразно.</w:t>
      </w:r>
    </w:p>
    <w:p w14:paraId="7094D6CC" w14:textId="77777777" w:rsidR="00725093" w:rsidRDefault="00000000">
      <w:pPr>
        <w:ind w:firstLine="480"/>
        <w:jc w:val="both"/>
      </w:pPr>
      <w:r>
        <w:t>44. Групповые свойства пота устанавливают методом абсорбции-элюции в разных модификациях.</w:t>
      </w:r>
    </w:p>
    <w:p w14:paraId="19014407" w14:textId="77777777" w:rsidR="00725093" w:rsidRDefault="00000000">
      <w:pPr>
        <w:ind w:firstLine="480"/>
        <w:jc w:val="both"/>
      </w:pPr>
      <w:r>
        <w:t>45. Для решения вопросов о группе пота в смешанных следах (например, кровь и пот) используют экстрагирование материала в бутанол или в смесь бутанола с метанолом.</w:t>
      </w:r>
    </w:p>
    <w:p w14:paraId="609B7404" w14:textId="77777777" w:rsidR="00725093" w:rsidRDefault="00000000">
      <w:pPr>
        <w:pStyle w:val="2"/>
        <w:ind w:firstLine="480"/>
        <w:jc w:val="center"/>
      </w:pPr>
      <w:r>
        <w:t>7. Судебно-биологическая экспертиза (исследование) волос</w:t>
      </w:r>
    </w:p>
    <w:p w14:paraId="46BEB57D" w14:textId="77777777" w:rsidR="00725093" w:rsidRDefault="00000000">
      <w:pPr>
        <w:ind w:firstLine="480"/>
        <w:jc w:val="both"/>
      </w:pPr>
      <w:r>
        <w:lastRenderedPageBreak/>
        <w:t>46. Предметом судебно-биологической экспертизы (исследования) могут являться объекты, напоминающие волосы, предоставленные органом (лицом), назначившим судебно-биологическую экспертизу (исследование), а также обнаруженные экспертом на иных представленных объектах. При этом, эксперт вправе изъять, провести исследование объектов и отразить это в заключении (исследовании).</w:t>
      </w:r>
    </w:p>
    <w:p w14:paraId="1D4555CD" w14:textId="77777777" w:rsidR="00725093" w:rsidRDefault="00000000">
      <w:pPr>
        <w:ind w:firstLine="480"/>
        <w:jc w:val="both"/>
      </w:pPr>
      <w:r>
        <w:t>47. Определение наличия и вида волос производят путем макро- и микроскопического исследования различных морфологических признаков изучаемых объектов; возможно использование также физических и химических методов.</w:t>
      </w:r>
    </w:p>
    <w:p w14:paraId="07F967B4" w14:textId="77777777" w:rsidR="00725093" w:rsidRDefault="00000000">
      <w:pPr>
        <w:ind w:firstLine="480"/>
        <w:jc w:val="both"/>
      </w:pPr>
      <w:r>
        <w:t>48. Волосы, представленные органом (лицом), назначившим судебно-биологическую экспертизу (исследование), можно сравнивать между собой, а также с образцами волос лиц, проходящих по делу, для решения вопроса об их возможной принадлежности одному человеку, как по групповой принадлежности, так и по морфологическим признакам.</w:t>
      </w:r>
    </w:p>
    <w:p w14:paraId="060C09C9" w14:textId="77777777" w:rsidR="00725093" w:rsidRDefault="00000000">
      <w:pPr>
        <w:ind w:firstLine="480"/>
        <w:jc w:val="both"/>
      </w:pPr>
      <w:r>
        <w:t>49. Для установления групповой принадлежности волос проводят реакцию абсорбции-элюции для выявления группоспецифических антигенов системы АВО.</w:t>
      </w:r>
    </w:p>
    <w:p w14:paraId="16E009A3" w14:textId="77777777" w:rsidR="00725093" w:rsidRDefault="00000000">
      <w:pPr>
        <w:ind w:firstLine="480"/>
        <w:jc w:val="both"/>
      </w:pPr>
      <w:r>
        <w:t>50. Сравнительное морфологическое исследование волос целесообразно проводить как для одногруппных волос, а также для волос, групповую принадлежность которых установить не представилось возможным.</w:t>
      </w:r>
    </w:p>
    <w:p w14:paraId="2BDE6CBC" w14:textId="77777777" w:rsidR="00725093" w:rsidRDefault="00000000">
      <w:pPr>
        <w:ind w:firstLine="480"/>
        <w:jc w:val="both"/>
      </w:pPr>
      <w:r>
        <w:t>51. Для проведения сравнительного морфологического исследования волос в распоряжение эксперта должны быть предоставлены образцы волос лиц, проходящих по делу, с соответствующей части тела, срезанные максимально близко к корневой части, в количестве не менее 10 штук. Образцы волос с головы изымают с пяти областей (лобной, затылочной, теменной, левой височной и правой височной).</w:t>
      </w:r>
    </w:p>
    <w:p w14:paraId="0EFE3CD2" w14:textId="77777777" w:rsidR="00725093" w:rsidRDefault="00000000">
      <w:pPr>
        <w:ind w:firstLine="480"/>
        <w:jc w:val="both"/>
      </w:pPr>
      <w:r>
        <w:t>52. Генотипоскопическая экспертиза (исследование) волос проводится в случае необходимости идентификации волос. Для генотипоскопической экспертизы (исследования) пригодны волосы с корневой луковицей, на которой имеются остатки влагалищных оболочек, содержащие ядерные клетки.</w:t>
      </w:r>
    </w:p>
    <w:p w14:paraId="4A6FF392" w14:textId="77777777" w:rsidR="00725093" w:rsidRDefault="00000000">
      <w:pPr>
        <w:ind w:firstLine="480"/>
        <w:jc w:val="both"/>
      </w:pPr>
      <w:r>
        <w:t>53. Если в процессе изучения волос эксперт пришел к выводу, что эти волосы принадлежат животному, он далее не обязан решать вопрос о виде этого животного. Если же эксперт может разобраться в вопросе о видовой принадлежности животного, волосы которого им обнаружены, он вправе разрешить этот вопрос, не передавая объекты иным специалистам.</w:t>
      </w:r>
    </w:p>
    <w:p w14:paraId="43DFF31E" w14:textId="77777777" w:rsidR="00725093" w:rsidRDefault="00000000">
      <w:pPr>
        <w:pStyle w:val="2"/>
        <w:ind w:firstLine="480"/>
        <w:jc w:val="center"/>
      </w:pPr>
      <w:r>
        <w:t>8. Судебно-биологическая экспертиза (исследование) эпителиальных клеток</w:t>
      </w:r>
    </w:p>
    <w:p w14:paraId="017E9FE4" w14:textId="77777777" w:rsidR="00725093" w:rsidRDefault="00000000">
      <w:pPr>
        <w:ind w:firstLine="480"/>
        <w:jc w:val="both"/>
      </w:pPr>
      <w:r>
        <w:t>54. Эпителиальные клетки могут быть обнаружены на любых предметах, с которыми имели контакт лица, проходящие по делу, а также на носимых вещах, предметах личного пользования, смывах с тела и мазках с полостей тела человека, в следах рук, непригодных для дактилоскопического исследования.</w:t>
      </w:r>
    </w:p>
    <w:p w14:paraId="71C8A712" w14:textId="77777777" w:rsidR="00725093" w:rsidRDefault="00000000">
      <w:pPr>
        <w:ind w:firstLine="480"/>
        <w:jc w:val="both"/>
      </w:pPr>
      <w:r>
        <w:t>55. Обнаружение эпителиальных клеток проводится с целью дальнейшей идентификации личности молекулярно-генетическими методами. Групповая принадлежность эпителиальных клеток не устанавливается.</w:t>
      </w:r>
    </w:p>
    <w:p w14:paraId="39BE550D" w14:textId="77777777" w:rsidR="00725093" w:rsidRDefault="00000000">
      <w:pPr>
        <w:ind w:firstLine="480"/>
        <w:jc w:val="both"/>
      </w:pPr>
      <w:r>
        <w:t>56. Смывы и вырезки с участков, на которых могут быть эпителиальные клетки, проводят на стерильный материал (марля, ватные палочки), для генотипоскопической экспертизы (исследования) - на стерильную клейкую ленту.</w:t>
      </w:r>
    </w:p>
    <w:p w14:paraId="55D1AE4F" w14:textId="77777777" w:rsidR="00725093" w:rsidRDefault="00000000">
      <w:pPr>
        <w:ind w:firstLine="480"/>
        <w:jc w:val="both"/>
      </w:pPr>
      <w:r>
        <w:t>57. Установление наличия эпителиальных клеток проводится микроскопическим методом, по результатам которого эксперт, в зависимости от количества обнаруженных в поле зрения ядерных эпителиальных клеток, делает выводы о пригодности эпителиальных клеток для генотипоскопической экспертизы (исследования).</w:t>
      </w:r>
    </w:p>
    <w:p w14:paraId="6818FDB0" w14:textId="77777777" w:rsidR="00725093" w:rsidRDefault="00000000">
      <w:pPr>
        <w:pStyle w:val="2"/>
        <w:ind w:firstLine="480"/>
        <w:jc w:val="center"/>
      </w:pPr>
      <w:r>
        <w:lastRenderedPageBreak/>
        <w:t>9. Генотипоскопическая экспертиза (исследование)</w:t>
      </w:r>
    </w:p>
    <w:p w14:paraId="21C945D8" w14:textId="77777777" w:rsidR="00725093" w:rsidRDefault="00000000">
      <w:pPr>
        <w:ind w:firstLine="480"/>
        <w:jc w:val="both"/>
      </w:pPr>
      <w:r>
        <w:t>58. Экспертное исследование с использованием методов молекулярно-генетической индивидуализации человека проводят с целью определения индивидуализирующих признаков биологических объектов на уровне геномной ДНК и установления определенных фактов, которые могут иметь доказательственное значение по делу, в частности, для решения диагностических и идентификационных экспертных задач.</w:t>
      </w:r>
    </w:p>
    <w:p w14:paraId="41894171" w14:textId="77777777" w:rsidR="00725093" w:rsidRDefault="00000000">
      <w:pPr>
        <w:ind w:firstLine="480"/>
        <w:jc w:val="both"/>
      </w:pPr>
      <w:r>
        <w:t>59. Экспертному исследованию молекулярно-генетическими методами в ОЭБО ГУ "ЭКЦ МВД ПМР" подлежат следующие объекты: жидкая кровь и выделения человека (сперма, слюна), следы крови и выделений на объектах исследования, зубы, кости, волосы человека, биологические ткани и эпителиальные клетки.</w:t>
      </w:r>
    </w:p>
    <w:p w14:paraId="49A05AF3" w14:textId="77777777" w:rsidR="00725093" w:rsidRDefault="00000000">
      <w:pPr>
        <w:ind w:firstLine="480"/>
        <w:jc w:val="both"/>
      </w:pPr>
      <w:r>
        <w:t>60. Генотипоскопическая экспертиза (исследование) производится по стандартизированным методикам молекулярно-генетического анализа, разработанных, апробированных и внедренных в практику.</w:t>
      </w:r>
    </w:p>
    <w:p w14:paraId="27CE0062" w14:textId="77777777" w:rsidR="00725093" w:rsidRDefault="00000000">
      <w:pPr>
        <w:ind w:firstLine="480"/>
        <w:jc w:val="both"/>
      </w:pPr>
      <w:r>
        <w:t>61. Генотипоскопическая экспертиза (исследование) может назначаться при необходимости проведения экспертизы (исследования) объектов исследования с целью идентификации личности либо установления биологического родства (в частности, для разрешения вопросов спорного происхождения детей, установления внутрисемейных и родословных связей).</w:t>
      </w:r>
    </w:p>
    <w:p w14:paraId="24F17CDB" w14:textId="77777777" w:rsidR="00725093" w:rsidRDefault="00000000">
      <w:pPr>
        <w:ind w:firstLine="480"/>
        <w:jc w:val="both"/>
      </w:pPr>
      <w:r>
        <w:t>Генотипоскопическая экспертиза (исследование) может быть назначена после проведения других видов экспертных исследований, в процессе которых не была исключена вероятность родства и не были решены вопросы идентификации.</w:t>
      </w:r>
    </w:p>
    <w:p w14:paraId="5F4F9B73" w14:textId="77777777" w:rsidR="00725093" w:rsidRDefault="00000000">
      <w:pPr>
        <w:ind w:firstLine="480"/>
        <w:jc w:val="both"/>
      </w:pPr>
      <w:r>
        <w:t>62. Орган (лицо), назначивший генотипоскопическую экспертизу (исследование), направляет объекты на генотипоскопическую экспертизу (исследование), как правило, после предварительного проведения судебно-биологической экспертизы (исследования), в процессе которой была определена природа биологического материала, его видовая и групповая принадлежность, пригодность для исследования генотипоскопическими методами.</w:t>
      </w:r>
    </w:p>
    <w:p w14:paraId="0C0B65F8" w14:textId="77777777" w:rsidR="00725093" w:rsidRDefault="00000000">
      <w:pPr>
        <w:ind w:firstLine="480"/>
        <w:jc w:val="both"/>
      </w:pPr>
      <w:r>
        <w:t>63. С целью определения объема предстоящего исследования, степени пригодности представленных объектов, сортировки и классификации объектов на идентифицирующие и идентифицируемые, их нумерации и маркировки, а также для своевременного принятия мер по сохранению первоначальных свойств объектов, эксперт осуществляет предварительный осмотр представленных материалов.</w:t>
      </w:r>
    </w:p>
    <w:p w14:paraId="2C5390BE" w14:textId="77777777" w:rsidR="00725093" w:rsidRDefault="00000000">
      <w:pPr>
        <w:ind w:firstLine="480"/>
        <w:jc w:val="both"/>
      </w:pPr>
      <w:r>
        <w:t>64. На основании данных предварительного ознакомления с представленными материалами эксперт составляет план проведения экспертного исследования, руководствуясь следующими положениями:</w:t>
      </w:r>
    </w:p>
    <w:p w14:paraId="1CE4A4F7" w14:textId="77777777" w:rsidR="00725093" w:rsidRDefault="00000000">
      <w:pPr>
        <w:ind w:firstLine="480"/>
        <w:jc w:val="both"/>
      </w:pPr>
      <w:r>
        <w:t>а) объекты подвергают исследованию в определенной последовательности, которая определяется местом каждого объекта в идентификационном процессе, а также изменчивостью первоначальных свойств объектов. Как правило, вначале исследуют идентифицирующие объекты неизвестного происхождения, связанные с расследуемым событием или преступлением (например, следы), затем сравнительный идентифицирующий материал (образцы от идентифицируемых лиц);</w:t>
      </w:r>
    </w:p>
    <w:p w14:paraId="0A994657" w14:textId="77777777" w:rsidR="00725093" w:rsidRDefault="00000000">
      <w:pPr>
        <w:ind w:firstLine="480"/>
        <w:jc w:val="both"/>
      </w:pPr>
      <w:r>
        <w:t>б) по возможности первыми исследуют объекты, идентификационные признаки которых, в результате гнилостных и прочих процессов могут быть утрачены ранее, чем у других объектов; при выборе методов исследования эксперт сначала оценивает возможности всех методов, применимых при данном виде экспертного исследования, затем, исходя из характера объектов и имеющихся в распоряжении эксперта информационно-методических и расходных материалов, отбирает оптимальные методы для использования в конкретном случае и определяет рациональную очередность их применения;</w:t>
      </w:r>
    </w:p>
    <w:p w14:paraId="352C2A55" w14:textId="77777777" w:rsidR="00725093" w:rsidRDefault="00000000">
      <w:pPr>
        <w:ind w:firstLine="480"/>
        <w:jc w:val="both"/>
      </w:pPr>
      <w:r>
        <w:lastRenderedPageBreak/>
        <w:t>в) при проведении экспертного исследования расходование объектов производят таким образом, чтобы обеспечить как полноту исследования, так и возможность проведения дополнительного или повторного исследования;</w:t>
      </w:r>
    </w:p>
    <w:p w14:paraId="7A60D797" w14:textId="77777777" w:rsidR="00725093" w:rsidRDefault="00000000">
      <w:pPr>
        <w:ind w:firstLine="480"/>
        <w:jc w:val="both"/>
      </w:pPr>
      <w:r>
        <w:t>г) при производстве экспертизы (исследования) эксперт ведет рабочие записи, в которых должны быть отражены все его действия;</w:t>
      </w:r>
    </w:p>
    <w:p w14:paraId="703BBE74" w14:textId="77777777" w:rsidR="00725093" w:rsidRDefault="00000000">
      <w:pPr>
        <w:ind w:firstLine="480"/>
        <w:jc w:val="both"/>
      </w:pPr>
      <w:r>
        <w:t>д) все получаемые результаты фиксируют в соответствующем документальном виде (фотографии, графики, таблицы и прочее) и сопровождают пояснительными надписями; документированные экспертные материалы, иллюстрирующие обоснованность выводов, прилагаются к заключению эксперта и служат его составной частью;</w:t>
      </w:r>
    </w:p>
    <w:p w14:paraId="3F06590F" w14:textId="77777777" w:rsidR="00725093" w:rsidRDefault="00000000">
      <w:pPr>
        <w:ind w:firstLine="480"/>
        <w:jc w:val="both"/>
      </w:pPr>
      <w:r>
        <w:t>65. Исследование представленных объектов с помощью методов молекулярногенетической индивидуализации человека проводят с целью идентификации (отождествления) личности и установления спорного происхождения детей.</w:t>
      </w:r>
    </w:p>
    <w:p w14:paraId="71936418" w14:textId="77777777" w:rsidR="00725093" w:rsidRDefault="00000000">
      <w:pPr>
        <w:ind w:firstLine="480"/>
        <w:jc w:val="both"/>
      </w:pPr>
      <w:r>
        <w:t>66. Основными являются следующие виды исследований:</w:t>
      </w:r>
    </w:p>
    <w:p w14:paraId="3E73F025" w14:textId="77777777" w:rsidR="00725093" w:rsidRDefault="00000000">
      <w:pPr>
        <w:ind w:firstLine="480"/>
        <w:jc w:val="both"/>
      </w:pPr>
      <w:r>
        <w:t>а) установление половой принадлежности биологических следов и объектов;</w:t>
      </w:r>
    </w:p>
    <w:p w14:paraId="00D08600" w14:textId="77777777" w:rsidR="00725093" w:rsidRDefault="00000000">
      <w:pPr>
        <w:ind w:firstLine="480"/>
        <w:jc w:val="both"/>
      </w:pPr>
      <w:r>
        <w:t>б) судебно-экспертная идентификация неопознанных останков;</w:t>
      </w:r>
    </w:p>
    <w:p w14:paraId="5AB15736" w14:textId="77777777" w:rsidR="00725093" w:rsidRDefault="00000000">
      <w:pPr>
        <w:ind w:firstLine="480"/>
        <w:jc w:val="both"/>
      </w:pPr>
      <w:r>
        <w:t>в) установление принадлежности крови, спермы, слюны, волос, тканей, органов и отделенных частей тела конкретному лицу;</w:t>
      </w:r>
    </w:p>
    <w:p w14:paraId="606B88B6" w14:textId="77777777" w:rsidR="00725093" w:rsidRDefault="00000000">
      <w:pPr>
        <w:ind w:firstLine="480"/>
        <w:jc w:val="both"/>
      </w:pPr>
      <w:r>
        <w:t>г) установление истинных родителей ребенка по делам о спорном происхождении детей (оспаривание отцовства, материнства или подмена детей); возможно проведение экспертного исследования при наличии только одного родителя;</w:t>
      </w:r>
    </w:p>
    <w:p w14:paraId="1868881C" w14:textId="77777777" w:rsidR="00725093" w:rsidRDefault="00000000">
      <w:pPr>
        <w:ind w:firstLine="480"/>
        <w:jc w:val="both"/>
      </w:pPr>
      <w:r>
        <w:t>д) установление матрилинейного родства;</w:t>
      </w:r>
    </w:p>
    <w:p w14:paraId="7D3A536A" w14:textId="77777777" w:rsidR="00725093" w:rsidRDefault="00000000">
      <w:pPr>
        <w:ind w:firstLine="480"/>
        <w:jc w:val="both"/>
      </w:pPr>
      <w:r>
        <w:t>е) установление зиготности близнецов;</w:t>
      </w:r>
    </w:p>
    <w:p w14:paraId="419F0105" w14:textId="77777777" w:rsidR="00725093" w:rsidRDefault="00000000">
      <w:pPr>
        <w:ind w:firstLine="480"/>
        <w:jc w:val="both"/>
      </w:pPr>
      <w:r>
        <w:t>ж) диагностическое типирование ДНК для целей последующей идентификации с объектами преступлений и несчастных случаев.</w:t>
      </w:r>
    </w:p>
    <w:p w14:paraId="0BF6EBDF" w14:textId="77777777" w:rsidR="00725093" w:rsidRDefault="00000000">
      <w:pPr>
        <w:ind w:firstLine="480"/>
        <w:jc w:val="both"/>
      </w:pPr>
      <w:r>
        <w:t>67. Целью идентификации личности при производстве генотипоскопической экспертизы (исследования) является индивидуализация аллельных профилей или гаплотипов исследуемых ДНК и их сравнительный анализ с целью установления генетической идентичности (тождества происхождения), а в случаях отрицательного результата идентификации - генетического различия объектов, участвующих в идентификационном процессе.</w:t>
      </w:r>
    </w:p>
    <w:p w14:paraId="1AC36F54" w14:textId="77777777" w:rsidR="00725093" w:rsidRDefault="00000000">
      <w:pPr>
        <w:ind w:firstLine="480"/>
        <w:jc w:val="both"/>
      </w:pPr>
      <w:r>
        <w:t>68. Результаты сравнительного исследования (совпадение - несовпадение) геномных профилей идентифицирующего объекта (биологические образцы, следы биологической природы и тому подобное) и идентифицируемого лица отражаются в выводах о вероятной генетической идентичности этих индивидуально определенных объектов исследования или их отличии.</w:t>
      </w:r>
    </w:p>
    <w:p w14:paraId="5692AE86" w14:textId="77777777" w:rsidR="00725093" w:rsidRDefault="00000000">
      <w:pPr>
        <w:ind w:firstLine="480"/>
        <w:jc w:val="both"/>
      </w:pPr>
      <w:r>
        <w:t>69. Для обоснованного вывода о безусловном исключении причастности идентифицируемого лица к происхождению исследованных объектов, несовпадение аллельных профилей должно быть зарегистрировано как минимум для двух несцепленных локусов (в некоторых случаях с учетом конкретных обстоятельств, исключающий вывод может быть обоснован при однолокусном несовпадении гетерозиготных профилей).</w:t>
      </w:r>
    </w:p>
    <w:p w14:paraId="543E2FAF" w14:textId="77777777" w:rsidR="00725093" w:rsidRDefault="00000000">
      <w:pPr>
        <w:ind w:firstLine="480"/>
        <w:jc w:val="both"/>
      </w:pPr>
      <w:r>
        <w:t>70. Тождественность аллельных профилей ДНК не влечет безусловный вывод о происхождении сравниваемых биологических объектов от одного индивидуума. При этом проводится вероятностная оценка генетической идентичности объектов экспертного исследования.</w:t>
      </w:r>
    </w:p>
    <w:p w14:paraId="70B820B7" w14:textId="77777777" w:rsidR="00725093" w:rsidRDefault="00000000">
      <w:pPr>
        <w:ind w:firstLine="480"/>
        <w:jc w:val="both"/>
      </w:pPr>
      <w:r>
        <w:t>71. При количественном анализе результата для расчета вероятности генетической идентичности объектов следует учитывать этническую принадлежность идентифицируемых лиц.</w:t>
      </w:r>
    </w:p>
    <w:p w14:paraId="62CC0C02" w14:textId="77777777" w:rsidR="00725093" w:rsidRDefault="00000000">
      <w:pPr>
        <w:ind w:firstLine="480"/>
        <w:jc w:val="both"/>
      </w:pPr>
      <w:r>
        <w:t>72. Генотипоскопическая экспертиза (исследование) по поводу спорного происхождения детей решает вопросы:</w:t>
      </w:r>
    </w:p>
    <w:p w14:paraId="48F5888F" w14:textId="77777777" w:rsidR="00725093" w:rsidRDefault="00000000">
      <w:pPr>
        <w:ind w:firstLine="480"/>
        <w:jc w:val="both"/>
      </w:pPr>
      <w:r>
        <w:lastRenderedPageBreak/>
        <w:t>а) исключается или не исключается отцовство, материнство данного индивидуума в отношении данного ребенка (плода);</w:t>
      </w:r>
    </w:p>
    <w:p w14:paraId="0E84BC01" w14:textId="77777777" w:rsidR="00725093" w:rsidRDefault="00000000">
      <w:pPr>
        <w:ind w:firstLine="480"/>
        <w:jc w:val="both"/>
      </w:pPr>
      <w:r>
        <w:t>б) если отцовство, материнство не исключается, то какова вероятность того, что полученный результат не является следствием случайного совпадения индивидуализирующих признаков неродственных лиц.</w:t>
      </w:r>
    </w:p>
    <w:p w14:paraId="152D34FA" w14:textId="77777777" w:rsidR="00725093" w:rsidRDefault="00000000">
      <w:pPr>
        <w:ind w:firstLine="480"/>
        <w:jc w:val="both"/>
      </w:pPr>
      <w:r>
        <w:t>73. В стандартных экспертных исследованиях изучают образцы жидкой или высушенной крови обследуемых лиц. При необходимости, вместо образцов крови анализу могут подвергаться и другие объекты: слюна, мазки (соскобы) со слизистой оболочки ротовой полости, абортивный материал, объекты от трупов родителей и ребенка, отдельные кости и их фрагменты, мягкие ткани и другое.</w:t>
      </w:r>
    </w:p>
    <w:p w14:paraId="025620A8" w14:textId="77777777" w:rsidR="00725093" w:rsidRDefault="00000000">
      <w:pPr>
        <w:ind w:firstLine="480"/>
        <w:jc w:val="both"/>
      </w:pPr>
      <w:r>
        <w:t>74. Образцы крови и слюны проверяемых лиц для генотипоскопической экспертизы (исследования) могут быть отобраны непосредственно в ОЭБО ГУ "ЭКЦ МВД ПМР" на основании их письменного заявления и при наличии документа, удостоверяющего личность гражданина, а также по поручению органа (лица), назначившего генотипоскопическую экспертизу (исследование), медицинским работником организации здравоохранения с последующей доставкой в ОЭБО ГУ "ЭКЦ МВД ПМР".</w:t>
      </w:r>
    </w:p>
    <w:p w14:paraId="3D2F8B99" w14:textId="77777777" w:rsidR="00725093" w:rsidRDefault="00000000">
      <w:pPr>
        <w:ind w:firstLine="480"/>
        <w:jc w:val="both"/>
      </w:pPr>
      <w:r>
        <w:t xml:space="preserve">Судебная экспертиза в отношении живых лиц производится в соответствии со </w:t>
      </w:r>
      <w:hyperlink r:id="rId25" w:tooltip="(ВСТУПИЛ В СИЛУ 19.03.2013) О судебно-экспертной деятельности в Приднестровской Молдавской Республике" w:history="1">
        <w:r>
          <w:rPr>
            <w:rStyle w:val="a3"/>
          </w:rPr>
          <w:t xml:space="preserve">статьей 27 Закона Приднестровской Молдавской Республики от 11 марта 2013 года № 53-3-V "О судебно-экспертной деятельности в Приднестровской Молдавской Республики" </w:t>
        </w:r>
      </w:hyperlink>
      <w:r>
        <w:t>(САЗ 13-10).</w:t>
      </w:r>
    </w:p>
    <w:p w14:paraId="640B39C2" w14:textId="77777777" w:rsidR="00725093" w:rsidRDefault="00000000">
      <w:pPr>
        <w:ind w:firstLine="480"/>
        <w:jc w:val="both"/>
      </w:pPr>
      <w:r>
        <w:t>75. Отбор образцов проводят сотрудники, имеющие медицинское образование (эксперт или лаборант в присутствии эксперта). Отбор крови у обследуемых лиц производится в условиях лаборатории в количестве 0,5 - 1,0 мл из пальца. Стандартное исследование предполагает отбор крови у ребенка, его матери и предполагаемого отца (в отдельных случаях, по согласованию с органом (лицом), назначившим генотипоскопическую экспертизу (исследование), возможно выполнение исследования в отсутствие матери ребенка).</w:t>
      </w:r>
    </w:p>
    <w:p w14:paraId="1DB3BBC5" w14:textId="77777777" w:rsidR="00725093" w:rsidRDefault="00000000">
      <w:pPr>
        <w:ind w:firstLine="480"/>
        <w:jc w:val="both"/>
      </w:pPr>
      <w:r>
        <w:t>76. По усмотрению органа (лица), назначившего генотипоскопическую экспертизу (исследование), допускается отбор крови в организации здравоохранения в количестве 0,5 - 1,0 мл и доставка с нарочным этих образцов в высушенном виде на марле.</w:t>
      </w:r>
    </w:p>
    <w:p w14:paraId="13372473" w14:textId="77777777" w:rsidR="00725093" w:rsidRDefault="00000000">
      <w:pPr>
        <w:ind w:firstLine="480"/>
        <w:jc w:val="both"/>
      </w:pPr>
      <w:r>
        <w:t>Образцы должны быть упакованы индивидуально в запечатанный бумажный пакет, снабженный идентифицирующей надписью и подписью медицинского работника, отобравшего кровь, заверенной печатью организации здравоохранения.</w:t>
      </w:r>
    </w:p>
    <w:p w14:paraId="457E05E0" w14:textId="77777777" w:rsidR="00725093" w:rsidRDefault="00000000">
      <w:pPr>
        <w:ind w:firstLine="480"/>
        <w:jc w:val="both"/>
      </w:pPr>
      <w:r>
        <w:t>77. Порядок явки обследуемых лиц в лабораторию для сдачи крови (одновременно обе стороны или по отдельности), а также конкретная форма предоставления образцов крови для проведения анализа (очно или заочно - с нарочным) определяется органом (лицом), назначившим генотипоскопическую экспертизу (исследование).</w:t>
      </w:r>
    </w:p>
    <w:p w14:paraId="0EB441C3" w14:textId="77777777" w:rsidR="00725093" w:rsidRDefault="00000000">
      <w:pPr>
        <w:ind w:firstLine="480"/>
        <w:jc w:val="both"/>
      </w:pPr>
      <w:r>
        <w:t>78. Образцы слюны отбираются путем соскоба с внутренней поверхности щек на стерильные ватные палочки аналогично отбору образцов крови.</w:t>
      </w:r>
    </w:p>
    <w:p w14:paraId="344B9215" w14:textId="77777777" w:rsidR="00725093" w:rsidRDefault="00000000">
      <w:pPr>
        <w:ind w:firstLine="480"/>
        <w:jc w:val="both"/>
      </w:pPr>
      <w:r>
        <w:t>79. При проведении сравнительного анализа объектов допускается использование препаратов ДНК, выделенных из биологических образцов разного тканевого происхождения.</w:t>
      </w:r>
    </w:p>
    <w:p w14:paraId="52300AF7" w14:textId="77777777" w:rsidR="00725093" w:rsidRDefault="00000000">
      <w:pPr>
        <w:ind w:firstLine="480"/>
        <w:jc w:val="both"/>
      </w:pPr>
      <w:r>
        <w:t>80. Идентификационный тест, направленный на разрешение случаев оспариваемого отцовства, материнства, предусматривает сравнительный анализ на основе закономерностей наследования индивидуальных аллельных состояний (генотипов) ребенка, матери и предполагаемого отца. В случае оспариваемого отцовства, материнства (при условии бесспорной истинности другого родителя) присутствие у ребенка аллелей, не свойственных ни одному из родителей, служит основанием для исключения указанного родства. В свою очередь, полное комплементарное соответствие геномного профиля ребенка таковым предполагаемых родителей означает неисключение предполагаемого родства.</w:t>
      </w:r>
    </w:p>
    <w:p w14:paraId="18218FAF" w14:textId="77777777" w:rsidR="00725093" w:rsidRDefault="00000000">
      <w:pPr>
        <w:ind w:firstLine="480"/>
        <w:jc w:val="both"/>
      </w:pPr>
      <w:r>
        <w:lastRenderedPageBreak/>
        <w:t>81. Для обоснованного вывода о безусловном исключении отцовства, материнства аллели ребенка, не свойственные ни одному из указанных родителей, должны быть зарегистрированы, как минимум, в двух несцепленных локусах.</w:t>
      </w:r>
    </w:p>
    <w:p w14:paraId="5A91D9E8" w14:textId="77777777" w:rsidR="00725093" w:rsidRDefault="00000000">
      <w:pPr>
        <w:ind w:firstLine="480"/>
        <w:jc w:val="both"/>
      </w:pPr>
      <w:r>
        <w:t>82. Совпадение условно отцовских (не материнских) аллелей в генотипе ребенка с аллелями, присутствующими в геноме предполагаемого отца, не означает доказанного отцовства.</w:t>
      </w:r>
    </w:p>
    <w:p w14:paraId="28616F00" w14:textId="77777777" w:rsidR="00725093" w:rsidRDefault="00000000">
      <w:pPr>
        <w:ind w:firstLine="480"/>
        <w:jc w:val="both"/>
      </w:pPr>
      <w:r>
        <w:t>83. Вероятностная оценка неисключенного родства строго обязательна. Искомое условное значение вероятности отцовства соответствует Байесовской апостериорной вероятности при 50%-ной априорной вероятности отцовства.</w:t>
      </w:r>
    </w:p>
    <w:p w14:paraId="3CEC250C" w14:textId="77777777" w:rsidR="00725093" w:rsidRDefault="00000000">
      <w:pPr>
        <w:ind w:firstLine="480"/>
        <w:jc w:val="both"/>
      </w:pPr>
      <w:r>
        <w:t>84. Уровень доказательности экспертного исследования, в случае неисключения отцовства, материнства, должен составлять следующие значения:</w:t>
      </w:r>
    </w:p>
    <w:p w14:paraId="4A56133A" w14:textId="77777777" w:rsidR="00725093" w:rsidRDefault="00000000">
      <w:pPr>
        <w:ind w:firstLine="480"/>
        <w:jc w:val="both"/>
      </w:pPr>
      <w:r>
        <w:t>а) для полного трио (мать - ребенок - предполагаемый отец) при условии, что истинность другого родителя считается бесспорной: не ниже 99,90% (рассчитываемый как Байесовская вероятность отцовства/материнства); не ниже 1000 (рассчитываемый как индекс отцовства PI);</w:t>
      </w:r>
    </w:p>
    <w:p w14:paraId="632C780D" w14:textId="77777777" w:rsidR="00725093" w:rsidRDefault="00000000">
      <w:pPr>
        <w:ind w:firstLine="480"/>
        <w:jc w:val="both"/>
      </w:pPr>
      <w:r>
        <w:t>б) для дуэта (ребенок - предполагаемый отец) в отсутствие другого родителя: не ниже 99,75% (рассчитываемый как Байесовская вероятность отцовства/материнства); не ниже 400 (рассчитываемый как индекс отцовства PI).</w:t>
      </w:r>
    </w:p>
    <w:p w14:paraId="3C067EB6" w14:textId="77777777" w:rsidR="00725093" w:rsidRDefault="00000000">
      <w:pPr>
        <w:ind w:firstLine="480"/>
        <w:jc w:val="both"/>
      </w:pPr>
      <w:r>
        <w:t>85. При количественном анализе результата для расчета вероятности отцовства (материнства) следует учитывать этническую принадлежность обследуемых лиц.</w:t>
      </w:r>
    </w:p>
    <w:p w14:paraId="6037ECD9" w14:textId="77777777" w:rsidR="00725093" w:rsidRDefault="00000000">
      <w:pPr>
        <w:ind w:firstLine="480"/>
        <w:jc w:val="both"/>
      </w:pPr>
      <w:r>
        <w:t>86. Базовыми технологиями геномного идентификационного анализа, применяемыми в экспертной практике, является анализ полиморфизма нуклеотидных последовательностей ДНК.</w:t>
      </w:r>
    </w:p>
    <w:p w14:paraId="5C862DC7" w14:textId="77777777" w:rsidR="00725093" w:rsidRDefault="00000000">
      <w:pPr>
        <w:ind w:firstLine="480"/>
        <w:jc w:val="both"/>
      </w:pPr>
      <w:r>
        <w:t>87. При выполнении генотипоскопических экспертных исследований, обработки и интерпретации получаемых данных, в ходе проведения экспертных исследований допускается использование тест-систем, расчетных алгоритмов и методик анализа, прошедших апробацию и рекомендованных к применению.</w:t>
      </w:r>
    </w:p>
    <w:p w14:paraId="2297092E" w14:textId="77777777" w:rsidR="00725093" w:rsidRDefault="00000000">
      <w:pPr>
        <w:pStyle w:val="a4"/>
        <w:jc w:val="right"/>
      </w:pPr>
      <w:r>
        <w:t>Приложение № 1</w:t>
      </w:r>
      <w:r>
        <w:br/>
        <w:t>к Правилам, утвержденным Приказом</w:t>
      </w:r>
      <w:r>
        <w:br/>
        <w:t>Министерства внутренних дел</w:t>
      </w:r>
      <w:r>
        <w:br/>
        <w:t>Приднестровской Молдавской Республики</w:t>
      </w:r>
      <w:r>
        <w:br/>
        <w:t>от 26 октября 2018 г. № 522</w:t>
      </w:r>
    </w:p>
    <w:p w14:paraId="1747F40B" w14:textId="77777777" w:rsidR="00725093" w:rsidRDefault="00000000">
      <w:pPr>
        <w:pStyle w:val="a4"/>
        <w:jc w:val="center"/>
      </w:pPr>
      <w:r>
        <w:t>"Журнал приема и выдачи объектов, поступающих на экспертизу и исследование"</w:t>
      </w:r>
    </w:p>
    <w:tbl>
      <w:tblPr>
        <w:tblStyle w:val="TableNormal"/>
        <w:tblW w:w="0" w:type="auto"/>
        <w:tblInd w:w="0"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473"/>
        <w:gridCol w:w="1377"/>
        <w:gridCol w:w="977"/>
        <w:gridCol w:w="1373"/>
        <w:gridCol w:w="1682"/>
        <w:gridCol w:w="1220"/>
        <w:gridCol w:w="1272"/>
        <w:gridCol w:w="1299"/>
      </w:tblGrid>
      <w:tr w:rsidR="00725093" w14:paraId="7F573EE0" w14:textId="77777777">
        <w:tc>
          <w:tcPr>
            <w:tcW w:w="0" w:type="auto"/>
            <w:tcBorders>
              <w:top w:val="single" w:sz="6" w:space="0" w:color="000000"/>
              <w:left w:val="single" w:sz="6" w:space="0" w:color="000000"/>
              <w:bottom w:val="single" w:sz="6" w:space="0" w:color="000000"/>
              <w:right w:val="single" w:sz="6" w:space="0" w:color="000000"/>
            </w:tcBorders>
          </w:tcPr>
          <w:p w14:paraId="3E6A04AA" w14:textId="77777777" w:rsidR="00725093" w:rsidRDefault="00000000">
            <w:pPr>
              <w:pStyle w:val="a4"/>
              <w:jc w:val="both"/>
            </w:pPr>
            <w:r>
              <w:t>№</w:t>
            </w:r>
          </w:p>
          <w:p w14:paraId="0441D038" w14:textId="77777777" w:rsidR="00725093" w:rsidRDefault="00000000">
            <w:pPr>
              <w:pStyle w:val="a4"/>
              <w:jc w:val="both"/>
            </w:pPr>
            <w:r>
              <w:t>п/п</w:t>
            </w:r>
          </w:p>
        </w:tc>
        <w:tc>
          <w:tcPr>
            <w:tcW w:w="0" w:type="auto"/>
            <w:tcBorders>
              <w:top w:val="single" w:sz="6" w:space="0" w:color="000000"/>
              <w:left w:val="single" w:sz="6" w:space="0" w:color="000000"/>
              <w:bottom w:val="single" w:sz="6" w:space="0" w:color="000000"/>
              <w:right w:val="single" w:sz="6" w:space="0" w:color="000000"/>
            </w:tcBorders>
          </w:tcPr>
          <w:p w14:paraId="6BDD9B61" w14:textId="77777777" w:rsidR="00725093" w:rsidRDefault="00000000">
            <w:pPr>
              <w:pStyle w:val="a4"/>
              <w:jc w:val="both"/>
            </w:pPr>
            <w:r>
              <w:t>Номер и дата поступившего материала</w:t>
            </w:r>
          </w:p>
        </w:tc>
        <w:tc>
          <w:tcPr>
            <w:tcW w:w="0" w:type="auto"/>
            <w:tcBorders>
              <w:top w:val="single" w:sz="6" w:space="0" w:color="000000"/>
              <w:left w:val="single" w:sz="6" w:space="0" w:color="000000"/>
              <w:bottom w:val="single" w:sz="6" w:space="0" w:color="000000"/>
              <w:right w:val="single" w:sz="6" w:space="0" w:color="000000"/>
            </w:tcBorders>
          </w:tcPr>
          <w:p w14:paraId="2F9ECA6E" w14:textId="77777777" w:rsidR="00725093" w:rsidRDefault="00000000">
            <w:pPr>
              <w:pStyle w:val="a4"/>
              <w:jc w:val="both"/>
            </w:pPr>
            <w:r>
              <w:t>Откуда поступил</w:t>
            </w:r>
          </w:p>
        </w:tc>
        <w:tc>
          <w:tcPr>
            <w:tcW w:w="0" w:type="auto"/>
            <w:tcBorders>
              <w:top w:val="single" w:sz="6" w:space="0" w:color="000000"/>
              <w:left w:val="single" w:sz="6" w:space="0" w:color="000000"/>
              <w:bottom w:val="single" w:sz="6" w:space="0" w:color="000000"/>
              <w:right w:val="single" w:sz="6" w:space="0" w:color="000000"/>
            </w:tcBorders>
          </w:tcPr>
          <w:p w14:paraId="79C8B0E7" w14:textId="77777777" w:rsidR="00725093" w:rsidRDefault="00000000">
            <w:pPr>
              <w:pStyle w:val="a4"/>
              <w:jc w:val="both"/>
            </w:pPr>
            <w:r>
              <w:t>Сколько объектов и их наименование</w:t>
            </w:r>
          </w:p>
        </w:tc>
        <w:tc>
          <w:tcPr>
            <w:tcW w:w="0" w:type="auto"/>
            <w:tcBorders>
              <w:top w:val="single" w:sz="6" w:space="0" w:color="000000"/>
              <w:left w:val="single" w:sz="6" w:space="0" w:color="000000"/>
              <w:bottom w:val="single" w:sz="6" w:space="0" w:color="000000"/>
              <w:right w:val="single" w:sz="6" w:space="0" w:color="000000"/>
            </w:tcBorders>
          </w:tcPr>
          <w:p w14:paraId="2337910B" w14:textId="77777777" w:rsidR="00725093" w:rsidRDefault="00000000">
            <w:pPr>
              <w:pStyle w:val="a4"/>
              <w:jc w:val="both"/>
            </w:pPr>
            <w:r>
              <w:t>Дата и час приема на экспертизу (исследование), подпись регистрирующего</w:t>
            </w:r>
          </w:p>
        </w:tc>
        <w:tc>
          <w:tcPr>
            <w:tcW w:w="0" w:type="auto"/>
            <w:tcBorders>
              <w:top w:val="single" w:sz="6" w:space="0" w:color="000000"/>
              <w:left w:val="single" w:sz="6" w:space="0" w:color="000000"/>
              <w:bottom w:val="single" w:sz="6" w:space="0" w:color="000000"/>
              <w:right w:val="single" w:sz="6" w:space="0" w:color="000000"/>
            </w:tcBorders>
          </w:tcPr>
          <w:p w14:paraId="25C4280B" w14:textId="77777777" w:rsidR="00725093" w:rsidRDefault="00000000">
            <w:pPr>
              <w:pStyle w:val="a4"/>
              <w:jc w:val="both"/>
            </w:pPr>
            <w:r>
              <w:t>Кому передано исполнение, подпись</w:t>
            </w:r>
          </w:p>
        </w:tc>
        <w:tc>
          <w:tcPr>
            <w:tcW w:w="0" w:type="auto"/>
            <w:tcBorders>
              <w:top w:val="single" w:sz="6" w:space="0" w:color="000000"/>
              <w:left w:val="single" w:sz="6" w:space="0" w:color="000000"/>
              <w:bottom w:val="single" w:sz="6" w:space="0" w:color="000000"/>
              <w:right w:val="single" w:sz="6" w:space="0" w:color="000000"/>
            </w:tcBorders>
          </w:tcPr>
          <w:p w14:paraId="7140E7B0" w14:textId="77777777" w:rsidR="00725093" w:rsidRDefault="00000000">
            <w:pPr>
              <w:pStyle w:val="a4"/>
              <w:jc w:val="both"/>
            </w:pPr>
            <w:r>
              <w:t>Дата и час возвращения материала, № заключения (справки)</w:t>
            </w:r>
          </w:p>
        </w:tc>
        <w:tc>
          <w:tcPr>
            <w:tcW w:w="0" w:type="auto"/>
            <w:tcBorders>
              <w:top w:val="single" w:sz="6" w:space="0" w:color="000000"/>
              <w:left w:val="single" w:sz="6" w:space="0" w:color="000000"/>
              <w:bottom w:val="single" w:sz="6" w:space="0" w:color="000000"/>
              <w:right w:val="single" w:sz="6" w:space="0" w:color="000000"/>
            </w:tcBorders>
          </w:tcPr>
          <w:p w14:paraId="620545E5" w14:textId="77777777" w:rsidR="00725093" w:rsidRDefault="00000000">
            <w:pPr>
              <w:pStyle w:val="a4"/>
              <w:jc w:val="both"/>
            </w:pPr>
            <w:r>
              <w:t>Дата и подпись лица получившего материал</w:t>
            </w:r>
          </w:p>
        </w:tc>
      </w:tr>
      <w:tr w:rsidR="00725093" w14:paraId="5C53BEA5" w14:textId="77777777">
        <w:tc>
          <w:tcPr>
            <w:tcW w:w="0" w:type="auto"/>
            <w:tcBorders>
              <w:top w:val="single" w:sz="6" w:space="0" w:color="000000"/>
              <w:left w:val="single" w:sz="6" w:space="0" w:color="000000"/>
              <w:bottom w:val="single" w:sz="6" w:space="0" w:color="000000"/>
              <w:right w:val="single" w:sz="6" w:space="0" w:color="000000"/>
            </w:tcBorders>
          </w:tcPr>
          <w:p w14:paraId="51140BAA" w14:textId="77777777" w:rsidR="00725093" w:rsidRDefault="00000000">
            <w:pPr>
              <w:pStyle w:val="a4"/>
              <w:jc w:val="both"/>
            </w:pPr>
            <w:r>
              <w:t>1</w:t>
            </w:r>
          </w:p>
        </w:tc>
        <w:tc>
          <w:tcPr>
            <w:tcW w:w="0" w:type="auto"/>
            <w:tcBorders>
              <w:top w:val="single" w:sz="6" w:space="0" w:color="000000"/>
              <w:left w:val="single" w:sz="6" w:space="0" w:color="000000"/>
              <w:bottom w:val="single" w:sz="6" w:space="0" w:color="000000"/>
              <w:right w:val="single" w:sz="6" w:space="0" w:color="000000"/>
            </w:tcBorders>
          </w:tcPr>
          <w:p w14:paraId="09104F01" w14:textId="77777777" w:rsidR="00725093" w:rsidRDefault="00000000">
            <w:pPr>
              <w:pStyle w:val="a4"/>
              <w:jc w:val="both"/>
            </w:pPr>
            <w:r>
              <w:t>2</w:t>
            </w:r>
          </w:p>
        </w:tc>
        <w:tc>
          <w:tcPr>
            <w:tcW w:w="0" w:type="auto"/>
            <w:tcBorders>
              <w:top w:val="single" w:sz="6" w:space="0" w:color="000000"/>
              <w:left w:val="single" w:sz="6" w:space="0" w:color="000000"/>
              <w:bottom w:val="single" w:sz="6" w:space="0" w:color="000000"/>
              <w:right w:val="single" w:sz="6" w:space="0" w:color="000000"/>
            </w:tcBorders>
          </w:tcPr>
          <w:p w14:paraId="51B38F76" w14:textId="77777777" w:rsidR="00725093" w:rsidRDefault="00000000">
            <w:pPr>
              <w:pStyle w:val="a4"/>
              <w:jc w:val="both"/>
            </w:pPr>
            <w:r>
              <w:t>3</w:t>
            </w:r>
          </w:p>
        </w:tc>
        <w:tc>
          <w:tcPr>
            <w:tcW w:w="0" w:type="auto"/>
            <w:tcBorders>
              <w:top w:val="single" w:sz="6" w:space="0" w:color="000000"/>
              <w:left w:val="single" w:sz="6" w:space="0" w:color="000000"/>
              <w:bottom w:val="single" w:sz="6" w:space="0" w:color="000000"/>
              <w:right w:val="single" w:sz="6" w:space="0" w:color="000000"/>
            </w:tcBorders>
          </w:tcPr>
          <w:p w14:paraId="70938140" w14:textId="77777777" w:rsidR="00725093" w:rsidRDefault="00000000">
            <w:pPr>
              <w:pStyle w:val="a4"/>
              <w:jc w:val="both"/>
            </w:pPr>
            <w:r>
              <w:t>4</w:t>
            </w:r>
          </w:p>
        </w:tc>
        <w:tc>
          <w:tcPr>
            <w:tcW w:w="0" w:type="auto"/>
            <w:tcBorders>
              <w:top w:val="single" w:sz="6" w:space="0" w:color="000000"/>
              <w:left w:val="single" w:sz="6" w:space="0" w:color="000000"/>
              <w:bottom w:val="single" w:sz="6" w:space="0" w:color="000000"/>
              <w:right w:val="single" w:sz="6" w:space="0" w:color="000000"/>
            </w:tcBorders>
          </w:tcPr>
          <w:p w14:paraId="65D256DB" w14:textId="77777777" w:rsidR="00725093" w:rsidRDefault="00000000">
            <w:pPr>
              <w:pStyle w:val="a4"/>
              <w:jc w:val="both"/>
            </w:pPr>
            <w:r>
              <w:t>5</w:t>
            </w:r>
          </w:p>
        </w:tc>
        <w:tc>
          <w:tcPr>
            <w:tcW w:w="0" w:type="auto"/>
            <w:tcBorders>
              <w:top w:val="single" w:sz="6" w:space="0" w:color="000000"/>
              <w:left w:val="single" w:sz="6" w:space="0" w:color="000000"/>
              <w:bottom w:val="single" w:sz="6" w:space="0" w:color="000000"/>
              <w:right w:val="single" w:sz="6" w:space="0" w:color="000000"/>
            </w:tcBorders>
          </w:tcPr>
          <w:p w14:paraId="515AEAE5" w14:textId="77777777" w:rsidR="00725093" w:rsidRDefault="00000000">
            <w:pPr>
              <w:pStyle w:val="a4"/>
              <w:jc w:val="both"/>
            </w:pPr>
            <w:r>
              <w:t>6</w:t>
            </w:r>
          </w:p>
        </w:tc>
        <w:tc>
          <w:tcPr>
            <w:tcW w:w="0" w:type="auto"/>
            <w:tcBorders>
              <w:top w:val="single" w:sz="6" w:space="0" w:color="000000"/>
              <w:left w:val="single" w:sz="6" w:space="0" w:color="000000"/>
              <w:bottom w:val="single" w:sz="6" w:space="0" w:color="000000"/>
              <w:right w:val="single" w:sz="6" w:space="0" w:color="000000"/>
            </w:tcBorders>
          </w:tcPr>
          <w:p w14:paraId="27F23D24" w14:textId="77777777" w:rsidR="00725093" w:rsidRDefault="00000000">
            <w:pPr>
              <w:pStyle w:val="a4"/>
              <w:jc w:val="both"/>
            </w:pPr>
            <w:r>
              <w:t>7</w:t>
            </w:r>
          </w:p>
        </w:tc>
        <w:tc>
          <w:tcPr>
            <w:tcW w:w="0" w:type="auto"/>
            <w:tcBorders>
              <w:top w:val="single" w:sz="6" w:space="0" w:color="000000"/>
              <w:left w:val="single" w:sz="6" w:space="0" w:color="000000"/>
              <w:bottom w:val="single" w:sz="6" w:space="0" w:color="000000"/>
              <w:right w:val="single" w:sz="6" w:space="0" w:color="000000"/>
            </w:tcBorders>
          </w:tcPr>
          <w:p w14:paraId="132061C7" w14:textId="77777777" w:rsidR="00725093" w:rsidRDefault="00000000">
            <w:pPr>
              <w:pStyle w:val="a4"/>
              <w:jc w:val="both"/>
            </w:pPr>
            <w:r>
              <w:t>8</w:t>
            </w:r>
          </w:p>
        </w:tc>
      </w:tr>
    </w:tbl>
    <w:p w14:paraId="13C5B85B" w14:textId="77777777" w:rsidR="00725093" w:rsidRDefault="00000000">
      <w:pPr>
        <w:pStyle w:val="a4"/>
        <w:jc w:val="right"/>
      </w:pPr>
      <w:r>
        <w:t>Приложение № 2</w:t>
      </w:r>
      <w:r>
        <w:br/>
        <w:t>к Правилам, утвержденным Приказом</w:t>
      </w:r>
      <w:r>
        <w:br/>
        <w:t>Министерства внутренних дел</w:t>
      </w:r>
      <w:r>
        <w:br/>
      </w:r>
      <w:r>
        <w:lastRenderedPageBreak/>
        <w:t>Приднестровской Молдавской Республики</w:t>
      </w:r>
      <w:r>
        <w:br/>
        <w:t>от 26 октября 2018 г. № 522</w:t>
      </w:r>
    </w:p>
    <w:p w14:paraId="233E2A91" w14:textId="77777777" w:rsidR="00725093" w:rsidRDefault="00000000">
      <w:pPr>
        <w:pStyle w:val="a4"/>
        <w:jc w:val="center"/>
      </w:pPr>
      <w:r>
        <w:t>"Журнал регистрации материалов, поступающих на экспертизу и исследования"</w:t>
      </w:r>
    </w:p>
    <w:tbl>
      <w:tblPr>
        <w:tblStyle w:val="TableNormal"/>
        <w:tblW w:w="0" w:type="auto"/>
        <w:tblInd w:w="0"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452"/>
        <w:gridCol w:w="1553"/>
        <w:gridCol w:w="1207"/>
        <w:gridCol w:w="1640"/>
        <w:gridCol w:w="1396"/>
        <w:gridCol w:w="1301"/>
        <w:gridCol w:w="1124"/>
      </w:tblGrid>
      <w:tr w:rsidR="00725093" w14:paraId="2BFCB89A" w14:textId="77777777">
        <w:tc>
          <w:tcPr>
            <w:tcW w:w="0" w:type="auto"/>
            <w:tcBorders>
              <w:top w:val="single" w:sz="6" w:space="0" w:color="000000"/>
              <w:left w:val="single" w:sz="6" w:space="0" w:color="000000"/>
              <w:bottom w:val="single" w:sz="6" w:space="0" w:color="000000"/>
              <w:right w:val="single" w:sz="6" w:space="0" w:color="000000"/>
            </w:tcBorders>
          </w:tcPr>
          <w:p w14:paraId="22F3B64C" w14:textId="77777777" w:rsidR="00725093" w:rsidRDefault="00000000">
            <w:pPr>
              <w:pStyle w:val="a4"/>
              <w:jc w:val="both"/>
            </w:pPr>
            <w:r>
              <w:t>№ заключения эксперта</w:t>
            </w:r>
          </w:p>
        </w:tc>
        <w:tc>
          <w:tcPr>
            <w:tcW w:w="0" w:type="auto"/>
            <w:tcBorders>
              <w:top w:val="single" w:sz="6" w:space="0" w:color="000000"/>
              <w:left w:val="single" w:sz="6" w:space="0" w:color="000000"/>
              <w:bottom w:val="single" w:sz="6" w:space="0" w:color="000000"/>
              <w:right w:val="single" w:sz="6" w:space="0" w:color="000000"/>
            </w:tcBorders>
          </w:tcPr>
          <w:p w14:paraId="7AA54F3B" w14:textId="77777777" w:rsidR="00725093" w:rsidRDefault="00000000">
            <w:pPr>
              <w:pStyle w:val="a4"/>
              <w:jc w:val="both"/>
            </w:pPr>
            <w:r>
              <w:t>Номер поступления материала</w:t>
            </w:r>
          </w:p>
        </w:tc>
        <w:tc>
          <w:tcPr>
            <w:tcW w:w="0" w:type="auto"/>
            <w:tcBorders>
              <w:top w:val="single" w:sz="6" w:space="0" w:color="000000"/>
              <w:left w:val="single" w:sz="6" w:space="0" w:color="000000"/>
              <w:bottom w:val="single" w:sz="6" w:space="0" w:color="000000"/>
              <w:right w:val="single" w:sz="6" w:space="0" w:color="000000"/>
            </w:tcBorders>
          </w:tcPr>
          <w:p w14:paraId="32DD9188" w14:textId="77777777" w:rsidR="00725093" w:rsidRDefault="00000000">
            <w:pPr>
              <w:pStyle w:val="a4"/>
              <w:jc w:val="both"/>
            </w:pPr>
            <w:r>
              <w:t>Откуда поступил материал</w:t>
            </w:r>
          </w:p>
        </w:tc>
        <w:tc>
          <w:tcPr>
            <w:tcW w:w="0" w:type="auto"/>
            <w:tcBorders>
              <w:top w:val="single" w:sz="6" w:space="0" w:color="000000"/>
              <w:left w:val="single" w:sz="6" w:space="0" w:color="000000"/>
              <w:bottom w:val="single" w:sz="6" w:space="0" w:color="000000"/>
              <w:right w:val="single" w:sz="6" w:space="0" w:color="000000"/>
            </w:tcBorders>
          </w:tcPr>
          <w:p w14:paraId="7924D50F" w14:textId="77777777" w:rsidR="00725093" w:rsidRDefault="00000000">
            <w:pPr>
              <w:pStyle w:val="a4"/>
              <w:jc w:val="both"/>
            </w:pPr>
            <w:r>
              <w:t>Состав преступления</w:t>
            </w:r>
          </w:p>
        </w:tc>
        <w:tc>
          <w:tcPr>
            <w:tcW w:w="0" w:type="auto"/>
            <w:tcBorders>
              <w:top w:val="single" w:sz="6" w:space="0" w:color="000000"/>
              <w:left w:val="single" w:sz="6" w:space="0" w:color="000000"/>
              <w:bottom w:val="single" w:sz="6" w:space="0" w:color="000000"/>
              <w:right w:val="single" w:sz="6" w:space="0" w:color="000000"/>
            </w:tcBorders>
          </w:tcPr>
          <w:p w14:paraId="150EABAB" w14:textId="77777777" w:rsidR="00725093" w:rsidRDefault="00000000">
            <w:pPr>
              <w:pStyle w:val="a4"/>
              <w:jc w:val="both"/>
            </w:pPr>
            <w:r>
              <w:t>Вид экспертизы</w:t>
            </w:r>
          </w:p>
        </w:tc>
        <w:tc>
          <w:tcPr>
            <w:tcW w:w="0" w:type="auto"/>
            <w:tcBorders>
              <w:top w:val="single" w:sz="6" w:space="0" w:color="000000"/>
              <w:left w:val="single" w:sz="6" w:space="0" w:color="000000"/>
              <w:bottom w:val="single" w:sz="6" w:space="0" w:color="000000"/>
              <w:right w:val="single" w:sz="6" w:space="0" w:color="000000"/>
            </w:tcBorders>
          </w:tcPr>
          <w:p w14:paraId="6EDC857A" w14:textId="77777777" w:rsidR="00725093" w:rsidRDefault="00000000">
            <w:pPr>
              <w:pStyle w:val="a4"/>
              <w:jc w:val="both"/>
            </w:pPr>
            <w:r>
              <w:t>Что поступило</w:t>
            </w:r>
          </w:p>
        </w:tc>
        <w:tc>
          <w:tcPr>
            <w:tcW w:w="0" w:type="auto"/>
            <w:tcBorders>
              <w:top w:val="single" w:sz="6" w:space="0" w:color="000000"/>
              <w:left w:val="single" w:sz="6" w:space="0" w:color="000000"/>
              <w:bottom w:val="single" w:sz="6" w:space="0" w:color="000000"/>
              <w:right w:val="single" w:sz="6" w:space="0" w:color="000000"/>
            </w:tcBorders>
          </w:tcPr>
          <w:p w14:paraId="1CF988AB" w14:textId="77777777" w:rsidR="00725093" w:rsidRDefault="00000000">
            <w:pPr>
              <w:pStyle w:val="a4"/>
              <w:jc w:val="both"/>
            </w:pPr>
            <w:r>
              <w:t>Ф.И.О. эксперта</w:t>
            </w:r>
          </w:p>
        </w:tc>
      </w:tr>
      <w:tr w:rsidR="00725093" w14:paraId="4A3F4003" w14:textId="77777777">
        <w:tc>
          <w:tcPr>
            <w:tcW w:w="0" w:type="auto"/>
            <w:tcBorders>
              <w:top w:val="single" w:sz="6" w:space="0" w:color="000000"/>
              <w:left w:val="single" w:sz="6" w:space="0" w:color="000000"/>
              <w:bottom w:val="single" w:sz="6" w:space="0" w:color="000000"/>
              <w:right w:val="single" w:sz="6" w:space="0" w:color="000000"/>
            </w:tcBorders>
          </w:tcPr>
          <w:p w14:paraId="1942B36E" w14:textId="77777777" w:rsidR="00725093" w:rsidRDefault="00000000">
            <w:pPr>
              <w:pStyle w:val="a4"/>
              <w:jc w:val="both"/>
            </w:pPr>
            <w:r>
              <w:t>1</w:t>
            </w:r>
          </w:p>
        </w:tc>
        <w:tc>
          <w:tcPr>
            <w:tcW w:w="0" w:type="auto"/>
            <w:tcBorders>
              <w:top w:val="single" w:sz="6" w:space="0" w:color="000000"/>
              <w:left w:val="single" w:sz="6" w:space="0" w:color="000000"/>
              <w:bottom w:val="single" w:sz="6" w:space="0" w:color="000000"/>
              <w:right w:val="single" w:sz="6" w:space="0" w:color="000000"/>
            </w:tcBorders>
          </w:tcPr>
          <w:p w14:paraId="2EEA4161" w14:textId="77777777" w:rsidR="00725093" w:rsidRDefault="00000000">
            <w:pPr>
              <w:pStyle w:val="a4"/>
              <w:jc w:val="both"/>
            </w:pPr>
            <w:r>
              <w:t>2</w:t>
            </w:r>
          </w:p>
        </w:tc>
        <w:tc>
          <w:tcPr>
            <w:tcW w:w="0" w:type="auto"/>
            <w:tcBorders>
              <w:top w:val="single" w:sz="6" w:space="0" w:color="000000"/>
              <w:left w:val="single" w:sz="6" w:space="0" w:color="000000"/>
              <w:bottom w:val="single" w:sz="6" w:space="0" w:color="000000"/>
              <w:right w:val="single" w:sz="6" w:space="0" w:color="000000"/>
            </w:tcBorders>
          </w:tcPr>
          <w:p w14:paraId="6BDAE57A" w14:textId="77777777" w:rsidR="00725093" w:rsidRDefault="00000000">
            <w:pPr>
              <w:pStyle w:val="a4"/>
              <w:jc w:val="both"/>
            </w:pPr>
            <w:r>
              <w:t>3</w:t>
            </w:r>
          </w:p>
        </w:tc>
        <w:tc>
          <w:tcPr>
            <w:tcW w:w="0" w:type="auto"/>
            <w:tcBorders>
              <w:top w:val="single" w:sz="6" w:space="0" w:color="000000"/>
              <w:left w:val="single" w:sz="6" w:space="0" w:color="000000"/>
              <w:bottom w:val="single" w:sz="6" w:space="0" w:color="000000"/>
              <w:right w:val="single" w:sz="6" w:space="0" w:color="000000"/>
            </w:tcBorders>
          </w:tcPr>
          <w:p w14:paraId="47A25ED9" w14:textId="77777777" w:rsidR="00725093" w:rsidRDefault="00000000">
            <w:pPr>
              <w:pStyle w:val="a4"/>
              <w:jc w:val="both"/>
            </w:pPr>
            <w:r>
              <w:t>4</w:t>
            </w:r>
          </w:p>
        </w:tc>
        <w:tc>
          <w:tcPr>
            <w:tcW w:w="0" w:type="auto"/>
            <w:tcBorders>
              <w:top w:val="single" w:sz="6" w:space="0" w:color="000000"/>
              <w:left w:val="single" w:sz="6" w:space="0" w:color="000000"/>
              <w:bottom w:val="single" w:sz="6" w:space="0" w:color="000000"/>
              <w:right w:val="single" w:sz="6" w:space="0" w:color="000000"/>
            </w:tcBorders>
          </w:tcPr>
          <w:p w14:paraId="3B1D8978" w14:textId="77777777" w:rsidR="00725093" w:rsidRDefault="00000000">
            <w:pPr>
              <w:pStyle w:val="a4"/>
              <w:jc w:val="both"/>
            </w:pPr>
            <w:r>
              <w:t>5</w:t>
            </w:r>
          </w:p>
        </w:tc>
        <w:tc>
          <w:tcPr>
            <w:tcW w:w="0" w:type="auto"/>
            <w:tcBorders>
              <w:top w:val="single" w:sz="6" w:space="0" w:color="000000"/>
              <w:left w:val="single" w:sz="6" w:space="0" w:color="000000"/>
              <w:bottom w:val="single" w:sz="6" w:space="0" w:color="000000"/>
              <w:right w:val="single" w:sz="6" w:space="0" w:color="000000"/>
            </w:tcBorders>
          </w:tcPr>
          <w:p w14:paraId="772F83E0" w14:textId="77777777" w:rsidR="00725093" w:rsidRDefault="00000000">
            <w:pPr>
              <w:pStyle w:val="a4"/>
              <w:jc w:val="both"/>
            </w:pPr>
            <w:r>
              <w:t>6</w:t>
            </w:r>
          </w:p>
        </w:tc>
        <w:tc>
          <w:tcPr>
            <w:tcW w:w="0" w:type="auto"/>
            <w:tcBorders>
              <w:top w:val="single" w:sz="6" w:space="0" w:color="000000"/>
              <w:left w:val="single" w:sz="6" w:space="0" w:color="000000"/>
              <w:bottom w:val="single" w:sz="6" w:space="0" w:color="000000"/>
              <w:right w:val="single" w:sz="6" w:space="0" w:color="000000"/>
            </w:tcBorders>
          </w:tcPr>
          <w:p w14:paraId="74E32CEC" w14:textId="77777777" w:rsidR="00725093" w:rsidRDefault="00000000">
            <w:pPr>
              <w:pStyle w:val="a4"/>
              <w:jc w:val="both"/>
            </w:pPr>
            <w:r>
              <w:t>7</w:t>
            </w:r>
          </w:p>
        </w:tc>
      </w:tr>
    </w:tbl>
    <w:p w14:paraId="77878AAE" w14:textId="77777777" w:rsidR="00725093" w:rsidRDefault="00000000">
      <w:pPr>
        <w:pStyle w:val="a4"/>
        <w:jc w:val="center"/>
      </w:pPr>
      <w:r>
        <w:t>Продолжение таблицы</w:t>
      </w:r>
    </w:p>
    <w:tbl>
      <w:tblPr>
        <w:tblStyle w:val="TableNormal"/>
        <w:tblW w:w="0" w:type="auto"/>
        <w:tblInd w:w="0"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084"/>
        <w:gridCol w:w="1437"/>
        <w:gridCol w:w="1349"/>
        <w:gridCol w:w="1605"/>
        <w:gridCol w:w="1314"/>
        <w:gridCol w:w="1397"/>
        <w:gridCol w:w="1487"/>
      </w:tblGrid>
      <w:tr w:rsidR="00725093" w14:paraId="725A9872" w14:textId="77777777">
        <w:tc>
          <w:tcPr>
            <w:tcW w:w="0" w:type="auto"/>
            <w:tcBorders>
              <w:top w:val="single" w:sz="6" w:space="0" w:color="000000"/>
              <w:left w:val="single" w:sz="6" w:space="0" w:color="000000"/>
              <w:bottom w:val="single" w:sz="6" w:space="0" w:color="000000"/>
              <w:right w:val="single" w:sz="6" w:space="0" w:color="000000"/>
            </w:tcBorders>
          </w:tcPr>
          <w:p w14:paraId="25E01C04" w14:textId="77777777" w:rsidR="00725093" w:rsidRDefault="00000000">
            <w:pPr>
              <w:pStyle w:val="a4"/>
              <w:jc w:val="both"/>
            </w:pPr>
            <w:r>
              <w:t>Краткие выводы</w:t>
            </w:r>
          </w:p>
        </w:tc>
        <w:tc>
          <w:tcPr>
            <w:tcW w:w="0" w:type="auto"/>
            <w:tcBorders>
              <w:top w:val="single" w:sz="6" w:space="0" w:color="000000"/>
              <w:left w:val="single" w:sz="6" w:space="0" w:color="000000"/>
              <w:bottom w:val="single" w:sz="6" w:space="0" w:color="000000"/>
              <w:right w:val="single" w:sz="6" w:space="0" w:color="000000"/>
            </w:tcBorders>
          </w:tcPr>
          <w:p w14:paraId="219F8106" w14:textId="77777777" w:rsidR="00725093" w:rsidRDefault="00000000">
            <w:pPr>
              <w:pStyle w:val="a4"/>
              <w:jc w:val="both"/>
            </w:pPr>
            <w:r>
              <w:t>Дата исполнения</w:t>
            </w:r>
          </w:p>
        </w:tc>
        <w:tc>
          <w:tcPr>
            <w:tcW w:w="0" w:type="auto"/>
            <w:tcBorders>
              <w:top w:val="single" w:sz="6" w:space="0" w:color="000000"/>
              <w:left w:val="single" w:sz="6" w:space="0" w:color="000000"/>
              <w:bottom w:val="single" w:sz="6" w:space="0" w:color="000000"/>
              <w:right w:val="single" w:sz="6" w:space="0" w:color="000000"/>
            </w:tcBorders>
          </w:tcPr>
          <w:p w14:paraId="7F258629" w14:textId="77777777" w:rsidR="00725093" w:rsidRDefault="00000000">
            <w:pPr>
              <w:pStyle w:val="a4"/>
              <w:jc w:val="both"/>
            </w:pPr>
            <w:r>
              <w:t>Подпись о получении</w:t>
            </w:r>
          </w:p>
        </w:tc>
        <w:tc>
          <w:tcPr>
            <w:tcW w:w="0" w:type="auto"/>
            <w:tcBorders>
              <w:top w:val="single" w:sz="6" w:space="0" w:color="000000"/>
              <w:left w:val="single" w:sz="6" w:space="0" w:color="000000"/>
              <w:bottom w:val="single" w:sz="6" w:space="0" w:color="000000"/>
              <w:right w:val="single" w:sz="6" w:space="0" w:color="000000"/>
            </w:tcBorders>
          </w:tcPr>
          <w:p w14:paraId="5D98E1EE" w14:textId="77777777" w:rsidR="00725093" w:rsidRDefault="00000000">
            <w:pPr>
              <w:pStyle w:val="a4"/>
              <w:jc w:val="both"/>
            </w:pPr>
            <w:r>
              <w:t>Фамилия получившего</w:t>
            </w:r>
          </w:p>
        </w:tc>
        <w:tc>
          <w:tcPr>
            <w:tcW w:w="0" w:type="auto"/>
            <w:tcBorders>
              <w:top w:val="single" w:sz="6" w:space="0" w:color="000000"/>
              <w:left w:val="single" w:sz="6" w:space="0" w:color="000000"/>
              <w:bottom w:val="single" w:sz="6" w:space="0" w:color="000000"/>
              <w:right w:val="single" w:sz="6" w:space="0" w:color="000000"/>
            </w:tcBorders>
          </w:tcPr>
          <w:p w14:paraId="4D205E39" w14:textId="77777777" w:rsidR="00725093" w:rsidRDefault="00000000">
            <w:pPr>
              <w:pStyle w:val="a4"/>
              <w:jc w:val="both"/>
            </w:pPr>
            <w:r>
              <w:t>Дата получения</w:t>
            </w:r>
          </w:p>
        </w:tc>
        <w:tc>
          <w:tcPr>
            <w:tcW w:w="0" w:type="auto"/>
            <w:tcBorders>
              <w:top w:val="single" w:sz="6" w:space="0" w:color="000000"/>
              <w:left w:val="single" w:sz="6" w:space="0" w:color="000000"/>
              <w:bottom w:val="single" w:sz="6" w:space="0" w:color="000000"/>
              <w:right w:val="single" w:sz="6" w:space="0" w:color="000000"/>
            </w:tcBorders>
          </w:tcPr>
          <w:p w14:paraId="6DCB86B9" w14:textId="77777777" w:rsidR="00725093" w:rsidRDefault="00000000">
            <w:pPr>
              <w:pStyle w:val="a4"/>
              <w:jc w:val="both"/>
            </w:pPr>
            <w:r>
              <w:t>№ уголовного дела</w:t>
            </w:r>
          </w:p>
        </w:tc>
        <w:tc>
          <w:tcPr>
            <w:tcW w:w="0" w:type="auto"/>
            <w:tcBorders>
              <w:top w:val="single" w:sz="6" w:space="0" w:color="000000"/>
              <w:left w:val="single" w:sz="6" w:space="0" w:color="000000"/>
              <w:bottom w:val="single" w:sz="6" w:space="0" w:color="000000"/>
              <w:right w:val="single" w:sz="6" w:space="0" w:color="000000"/>
            </w:tcBorders>
          </w:tcPr>
          <w:p w14:paraId="33FC5521" w14:textId="77777777" w:rsidR="00725093" w:rsidRDefault="00000000">
            <w:pPr>
              <w:pStyle w:val="a4"/>
              <w:jc w:val="both"/>
            </w:pPr>
            <w:r>
              <w:t>Примечание</w:t>
            </w:r>
          </w:p>
        </w:tc>
      </w:tr>
      <w:tr w:rsidR="00725093" w14:paraId="3D4F5BCA" w14:textId="77777777">
        <w:tc>
          <w:tcPr>
            <w:tcW w:w="0" w:type="auto"/>
            <w:tcBorders>
              <w:top w:val="single" w:sz="6" w:space="0" w:color="000000"/>
              <w:left w:val="single" w:sz="6" w:space="0" w:color="000000"/>
              <w:bottom w:val="single" w:sz="6" w:space="0" w:color="000000"/>
              <w:right w:val="single" w:sz="6" w:space="0" w:color="000000"/>
            </w:tcBorders>
          </w:tcPr>
          <w:p w14:paraId="189735DE" w14:textId="77777777" w:rsidR="00725093" w:rsidRDefault="00000000">
            <w:pPr>
              <w:pStyle w:val="a4"/>
              <w:jc w:val="both"/>
            </w:pPr>
            <w:r>
              <w:t>8</w:t>
            </w:r>
          </w:p>
        </w:tc>
        <w:tc>
          <w:tcPr>
            <w:tcW w:w="0" w:type="auto"/>
            <w:tcBorders>
              <w:top w:val="single" w:sz="6" w:space="0" w:color="000000"/>
              <w:left w:val="single" w:sz="6" w:space="0" w:color="000000"/>
              <w:bottom w:val="single" w:sz="6" w:space="0" w:color="000000"/>
              <w:right w:val="single" w:sz="6" w:space="0" w:color="000000"/>
            </w:tcBorders>
          </w:tcPr>
          <w:p w14:paraId="7BFA4137" w14:textId="77777777" w:rsidR="00725093" w:rsidRDefault="00000000">
            <w:pPr>
              <w:pStyle w:val="a4"/>
              <w:jc w:val="both"/>
            </w:pPr>
            <w:r>
              <w:t>9</w:t>
            </w:r>
          </w:p>
        </w:tc>
        <w:tc>
          <w:tcPr>
            <w:tcW w:w="0" w:type="auto"/>
            <w:tcBorders>
              <w:top w:val="single" w:sz="6" w:space="0" w:color="000000"/>
              <w:left w:val="single" w:sz="6" w:space="0" w:color="000000"/>
              <w:bottom w:val="single" w:sz="6" w:space="0" w:color="000000"/>
              <w:right w:val="single" w:sz="6" w:space="0" w:color="000000"/>
            </w:tcBorders>
          </w:tcPr>
          <w:p w14:paraId="4AA4C454" w14:textId="77777777" w:rsidR="00725093" w:rsidRDefault="00000000">
            <w:pPr>
              <w:pStyle w:val="a4"/>
              <w:jc w:val="both"/>
            </w:pPr>
            <w:r>
              <w:t>10</w:t>
            </w:r>
          </w:p>
        </w:tc>
        <w:tc>
          <w:tcPr>
            <w:tcW w:w="0" w:type="auto"/>
            <w:tcBorders>
              <w:top w:val="single" w:sz="6" w:space="0" w:color="000000"/>
              <w:left w:val="single" w:sz="6" w:space="0" w:color="000000"/>
              <w:bottom w:val="single" w:sz="6" w:space="0" w:color="000000"/>
              <w:right w:val="single" w:sz="6" w:space="0" w:color="000000"/>
            </w:tcBorders>
          </w:tcPr>
          <w:p w14:paraId="2E0CB357" w14:textId="77777777" w:rsidR="00725093" w:rsidRDefault="00000000">
            <w:pPr>
              <w:pStyle w:val="a4"/>
              <w:jc w:val="both"/>
            </w:pPr>
            <w:r>
              <w:t>11</w:t>
            </w:r>
          </w:p>
        </w:tc>
        <w:tc>
          <w:tcPr>
            <w:tcW w:w="0" w:type="auto"/>
            <w:tcBorders>
              <w:top w:val="single" w:sz="6" w:space="0" w:color="000000"/>
              <w:left w:val="single" w:sz="6" w:space="0" w:color="000000"/>
              <w:bottom w:val="single" w:sz="6" w:space="0" w:color="000000"/>
              <w:right w:val="single" w:sz="6" w:space="0" w:color="000000"/>
            </w:tcBorders>
          </w:tcPr>
          <w:p w14:paraId="3848EEDE" w14:textId="77777777" w:rsidR="00725093" w:rsidRDefault="00000000">
            <w:pPr>
              <w:pStyle w:val="a4"/>
              <w:jc w:val="both"/>
            </w:pPr>
            <w:r>
              <w:t>12</w:t>
            </w:r>
          </w:p>
        </w:tc>
        <w:tc>
          <w:tcPr>
            <w:tcW w:w="0" w:type="auto"/>
            <w:tcBorders>
              <w:top w:val="single" w:sz="6" w:space="0" w:color="000000"/>
              <w:left w:val="single" w:sz="6" w:space="0" w:color="000000"/>
              <w:bottom w:val="single" w:sz="6" w:space="0" w:color="000000"/>
              <w:right w:val="single" w:sz="6" w:space="0" w:color="000000"/>
            </w:tcBorders>
          </w:tcPr>
          <w:p w14:paraId="61008174" w14:textId="77777777" w:rsidR="00725093" w:rsidRDefault="00000000">
            <w:pPr>
              <w:pStyle w:val="a4"/>
              <w:jc w:val="both"/>
            </w:pPr>
            <w:r>
              <w:t>13</w:t>
            </w:r>
          </w:p>
        </w:tc>
        <w:tc>
          <w:tcPr>
            <w:tcW w:w="0" w:type="auto"/>
            <w:tcBorders>
              <w:top w:val="single" w:sz="6" w:space="0" w:color="000000"/>
              <w:left w:val="single" w:sz="6" w:space="0" w:color="000000"/>
              <w:bottom w:val="single" w:sz="6" w:space="0" w:color="000000"/>
              <w:right w:val="single" w:sz="6" w:space="0" w:color="000000"/>
            </w:tcBorders>
          </w:tcPr>
          <w:p w14:paraId="6B7331EE" w14:textId="77777777" w:rsidR="00725093" w:rsidRDefault="00000000">
            <w:pPr>
              <w:pStyle w:val="a4"/>
              <w:jc w:val="both"/>
            </w:pPr>
            <w:r>
              <w:t>14</w:t>
            </w:r>
          </w:p>
        </w:tc>
      </w:tr>
    </w:tbl>
    <w:p w14:paraId="2881369E" w14:textId="77777777" w:rsidR="007D614A" w:rsidRDefault="007D614A"/>
    <w:sectPr w:rsidR="007D614A">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6DE01" w14:textId="77777777" w:rsidR="007D614A" w:rsidRDefault="007D614A">
      <w:r>
        <w:separator/>
      </w:r>
    </w:p>
  </w:endnote>
  <w:endnote w:type="continuationSeparator" w:id="0">
    <w:p w14:paraId="6CBEFE55" w14:textId="77777777" w:rsidR="007D614A" w:rsidRDefault="007D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A0600" w14:textId="77777777" w:rsidR="007D614A" w:rsidRDefault="007D614A">
      <w:r>
        <w:separator/>
      </w:r>
    </w:p>
  </w:footnote>
  <w:footnote w:type="continuationSeparator" w:id="0">
    <w:p w14:paraId="3C026724" w14:textId="77777777" w:rsidR="007D614A" w:rsidRDefault="007D61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093"/>
    <w:rsid w:val="001D70A4"/>
    <w:rsid w:val="00725093"/>
    <w:rsid w:val="007D61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12400"/>
  <w15:docId w15:val="{322CA8E3-6CC9-4813-B01D-D8793CC00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1">
    <w:name w:val="heading 1"/>
    <w:basedOn w:val="a"/>
    <w:next w:val="a"/>
    <w:uiPriority w:val="9"/>
    <w:qFormat/>
    <w:pPr>
      <w:keepLines/>
      <w:spacing w:before="280" w:after="280"/>
      <w:outlineLvl w:val="0"/>
    </w:pPr>
    <w:rPr>
      <w:rFonts w:asciiTheme="majorHAnsi" w:hAnsiTheme="majorHAnsi" w:cs="Cambria"/>
      <w:b/>
      <w:color w:val="4F81BD" w:themeColor="accent1"/>
      <w:sz w:val="48"/>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1D70A4"/>
    <w:pPr>
      <w:tabs>
        <w:tab w:val="center" w:pos="4677"/>
        <w:tab w:val="right" w:pos="9355"/>
      </w:tabs>
    </w:pPr>
  </w:style>
  <w:style w:type="character" w:customStyle="1" w:styleId="a6">
    <w:name w:val="Верхний колонтитул Знак"/>
    <w:basedOn w:val="a0"/>
    <w:link w:val="a5"/>
    <w:uiPriority w:val="99"/>
    <w:rsid w:val="001D70A4"/>
    <w:rPr>
      <w:sz w:val="24"/>
    </w:rPr>
  </w:style>
  <w:style w:type="paragraph" w:styleId="a7">
    <w:name w:val="footer"/>
    <w:basedOn w:val="a"/>
    <w:link w:val="a8"/>
    <w:uiPriority w:val="99"/>
    <w:unhideWhenUsed/>
    <w:rsid w:val="001D70A4"/>
    <w:pPr>
      <w:tabs>
        <w:tab w:val="center" w:pos="4677"/>
        <w:tab w:val="right" w:pos="9355"/>
      </w:tabs>
    </w:pPr>
  </w:style>
  <w:style w:type="character" w:customStyle="1" w:styleId="a8">
    <w:name w:val="Нижний колонтитул Знак"/>
    <w:basedOn w:val="a0"/>
    <w:link w:val="a7"/>
    <w:uiPriority w:val="99"/>
    <w:rsid w:val="001D70A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pravopmr.ru/View.aspx?id=OKhIOhEz%2fNpewoiU2H4ubQ%3d%3d" TargetMode="External"/><Relationship Id="rId13" Type="http://schemas.openxmlformats.org/officeDocument/2006/relationships/hyperlink" Target="https://pravopmr.ru/View.aspx?id=2DK6IRKadMkmXVfNcRRbkw%3d%3d" TargetMode="External"/><Relationship Id="rId18" Type="http://schemas.openxmlformats.org/officeDocument/2006/relationships/hyperlink" Target="https://pravopmr.ru/View.aspx?id=5WwLJP5b7cMl6%2bf%2fcLu5lg%3d%3d"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pravopmr.ru/View.aspx?id=lEr96cyLQSHxs7MOTRHmeQ%3d%3d" TargetMode="External"/><Relationship Id="rId7" Type="http://schemas.openxmlformats.org/officeDocument/2006/relationships/hyperlink" Target="https://pravopmr.ru/View.aspx?id=s%2byfai9yBvBR1910lKK6SA%3d%3d" TargetMode="External"/><Relationship Id="rId12" Type="http://schemas.openxmlformats.org/officeDocument/2006/relationships/hyperlink" Target="https://pravopmr.ru/View.aspx?id=liLDdwloMx1tnuWzgl0vVA%3d%3d" TargetMode="External"/><Relationship Id="rId17" Type="http://schemas.openxmlformats.org/officeDocument/2006/relationships/hyperlink" Target="https://pravopmr.ru/View.aspx?id=qzT7lOxY%2bI4aZPZEJhC37A%3d%3d" TargetMode="External"/><Relationship Id="rId25" Type="http://schemas.openxmlformats.org/officeDocument/2006/relationships/hyperlink" Target="https://pravopmr.ru/View.aspx?id=s%2byfai9yBvBR1910lKK6SA%3d%3d#p158" TargetMode="External"/><Relationship Id="rId2" Type="http://schemas.openxmlformats.org/officeDocument/2006/relationships/settings" Target="settings.xml"/><Relationship Id="rId16" Type="http://schemas.openxmlformats.org/officeDocument/2006/relationships/hyperlink" Target="https://pravopmr.ru/View.aspx?id=6T3nlRxCW5aSz8zaNBpQiw%3d%3d" TargetMode="External"/><Relationship Id="rId20" Type="http://schemas.openxmlformats.org/officeDocument/2006/relationships/hyperlink" Target="https://pravopmr.ru/View.aspx?id=vaVHG5mTe2FFxyJ3VsxHFw%3d%3d" TargetMode="External"/><Relationship Id="rId1" Type="http://schemas.openxmlformats.org/officeDocument/2006/relationships/styles" Target="styles.xml"/><Relationship Id="rId6" Type="http://schemas.openxmlformats.org/officeDocument/2006/relationships/hyperlink" Target="file:///C:\Users\user\Downloads\x%3fsid=894805" TargetMode="External"/><Relationship Id="rId11" Type="http://schemas.openxmlformats.org/officeDocument/2006/relationships/hyperlink" Target="https://pravopmr.ru/View.aspx?id=iJSTuveaNnkZszHh3s5Pug%3d%3d" TargetMode="External"/><Relationship Id="rId24" Type="http://schemas.openxmlformats.org/officeDocument/2006/relationships/hyperlink" Target="https://pravopmr.ru/View.aspx?id=s%2byfai9yBvBR1910lKK6SA%3d%3d#p38" TargetMode="External"/><Relationship Id="rId5" Type="http://schemas.openxmlformats.org/officeDocument/2006/relationships/endnotes" Target="endnotes.xml"/><Relationship Id="rId15" Type="http://schemas.openxmlformats.org/officeDocument/2006/relationships/hyperlink" Target="https://pravopmr.ru/View.aspx?id=eOA8PXR2%2fsmDEeXUAyAzOg%3d%3d" TargetMode="External"/><Relationship Id="rId23" Type="http://schemas.openxmlformats.org/officeDocument/2006/relationships/hyperlink" Target="https://pravopmr.ru/View.aspx?id=0bjfX95xkvS2YK9I4h5b0Q%3d%3d#p51" TargetMode="External"/><Relationship Id="rId10" Type="http://schemas.openxmlformats.org/officeDocument/2006/relationships/hyperlink" Target="https://pravopmr.ru/View.aspx?id=AOVHG%2bm38RxfQwERAvFZAw%3d%3d" TargetMode="External"/><Relationship Id="rId19" Type="http://schemas.openxmlformats.org/officeDocument/2006/relationships/hyperlink" Target="https://pravopmr.ru/View.aspx?id=CnvdCvhpUlhpHaau8Yzt3w%3d%3d" TargetMode="External"/><Relationship Id="rId4" Type="http://schemas.openxmlformats.org/officeDocument/2006/relationships/footnotes" Target="footnotes.xml"/><Relationship Id="rId9" Type="http://schemas.openxmlformats.org/officeDocument/2006/relationships/hyperlink" Target="https://pravopmr.ru/View.aspx?id=GfL1R1FW27B%2bfQLqi5jo9g%3d%3d" TargetMode="External"/><Relationship Id="rId14" Type="http://schemas.openxmlformats.org/officeDocument/2006/relationships/hyperlink" Target="https://pravopmr.ru/View.aspx?id=sSJlBk5cokUbp9SAOg%2bjRw%3d%3d" TargetMode="External"/><Relationship Id="rId22" Type="http://schemas.openxmlformats.org/officeDocument/2006/relationships/hyperlink" Target="https://pravopmr.ru/View.aspx?id=w2EIy1Bg%2bFwSJDMasx9aKg%3d%3d" TargetMode="Externa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7310</Words>
  <Characters>41668</Characters>
  <Application>Microsoft Office Word</Application>
  <DocSecurity>0</DocSecurity>
  <Lines>347</Lines>
  <Paragraphs>97</Paragraphs>
  <ScaleCrop>false</ScaleCrop>
  <Company/>
  <LinksUpToDate>false</LinksUpToDate>
  <CharactersWithSpaces>48881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2024-02-29T08:58:00Z</dcterms:created>
  <dcterms:modified xsi:type="dcterms:W3CDTF">2024-02-29T08:58:00Z</dcterms:modified>
</cp:coreProperties>
</file>